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7F33" w14:textId="77777777" w:rsidR="000C32D8" w:rsidRPr="00EC20F1" w:rsidRDefault="000C32D8" w:rsidP="004D78DF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EC20F1">
        <w:rPr>
          <w:rFonts w:asciiTheme="minorHAnsi" w:hAnsiTheme="minorHAnsi"/>
          <w:b/>
          <w:sz w:val="36"/>
          <w:szCs w:val="36"/>
        </w:rPr>
        <w:t xml:space="preserve">KATEGORIZACE ZÁKAZNÍKŮ </w:t>
      </w:r>
    </w:p>
    <w:p w14:paraId="520A99F3" w14:textId="0BF62B51" w:rsidR="00417A78" w:rsidRPr="00673097" w:rsidRDefault="00417A78" w:rsidP="00417A78">
      <w:pPr>
        <w:spacing w:after="0"/>
        <w:jc w:val="center"/>
        <w:rPr>
          <w:rFonts w:asciiTheme="minorHAnsi" w:hAnsiTheme="minorHAnsi"/>
        </w:rPr>
      </w:pPr>
      <w:r w:rsidRPr="00587CA4">
        <w:rPr>
          <w:rFonts w:asciiTheme="minorHAnsi" w:hAnsiTheme="minorHAnsi"/>
          <w:lang w:val="en-GB"/>
        </w:rPr>
        <w:t>[</w:t>
      </w:r>
      <w:r w:rsidR="00D96574" w:rsidRPr="00587CA4">
        <w:rPr>
          <w:rFonts w:asciiTheme="minorHAnsi" w:hAnsiTheme="minorHAnsi"/>
        </w:rPr>
        <w:t>20200501</w:t>
      </w:r>
      <w:r w:rsidRPr="00587CA4">
        <w:rPr>
          <w:rFonts w:asciiTheme="minorHAnsi" w:hAnsiTheme="minorHAnsi"/>
        </w:rPr>
        <w:t>]</w:t>
      </w:r>
    </w:p>
    <w:p w14:paraId="7BC0D19F" w14:textId="77777777" w:rsidR="00417A78" w:rsidRPr="00FC4DAC" w:rsidRDefault="00417A78" w:rsidP="004D78DF">
      <w:pPr>
        <w:spacing w:after="0"/>
        <w:jc w:val="center"/>
        <w:rPr>
          <w:rFonts w:asciiTheme="minorHAnsi" w:hAnsiTheme="minorHAnsi"/>
          <w:sz w:val="20"/>
        </w:rPr>
      </w:pPr>
    </w:p>
    <w:p w14:paraId="2F36B281" w14:textId="77777777" w:rsidR="000C32D8" w:rsidRPr="00EC20F1" w:rsidRDefault="000C32D8" w:rsidP="000C32D8">
      <w:pPr>
        <w:pStyle w:val="Nadpis1"/>
        <w:numPr>
          <w:ilvl w:val="0"/>
          <w:numId w:val="1"/>
        </w:numPr>
        <w:spacing w:before="120" w:after="120" w:line="240" w:lineRule="auto"/>
        <w:ind w:left="567" w:hanging="567"/>
        <w:rPr>
          <w:rFonts w:asciiTheme="minorHAnsi" w:hAnsiTheme="minorHAnsi"/>
          <w:sz w:val="18"/>
          <w:szCs w:val="18"/>
        </w:rPr>
      </w:pPr>
      <w:bookmarkStart w:id="0" w:name="_Toc499897768"/>
      <w:r w:rsidRPr="00EC20F1">
        <w:rPr>
          <w:rFonts w:asciiTheme="minorHAnsi" w:hAnsiTheme="minorHAnsi"/>
          <w:sz w:val="18"/>
          <w:szCs w:val="18"/>
        </w:rPr>
        <w:t>Úvodní ustanovení</w:t>
      </w:r>
      <w:bookmarkEnd w:id="0"/>
    </w:p>
    <w:p w14:paraId="606ACE83" w14:textId="0202DB07" w:rsidR="008465FC" w:rsidRPr="00EC20F1" w:rsidRDefault="000C32D8" w:rsidP="00201451">
      <w:pPr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V souvislosti s nabytím účinnosti novely zákona č. 256/2004 Sb., o podnikání na kapitálovém trhu, ve znění pozdějších předpisů (dále jen „</w:t>
      </w:r>
      <w:r w:rsidRPr="00EC20F1">
        <w:rPr>
          <w:rFonts w:asciiTheme="minorHAnsi" w:hAnsiTheme="minorHAnsi"/>
          <w:b/>
          <w:sz w:val="18"/>
          <w:szCs w:val="18"/>
        </w:rPr>
        <w:t>ZPKT</w:t>
      </w:r>
      <w:r w:rsidRPr="00EC20F1">
        <w:rPr>
          <w:rFonts w:asciiTheme="minorHAnsi" w:hAnsiTheme="minorHAnsi"/>
          <w:sz w:val="18"/>
          <w:szCs w:val="18"/>
        </w:rPr>
        <w:t xml:space="preserve">“), kterou byla do českého právního řádu transponována evropská směrnice </w:t>
      </w:r>
      <w:r w:rsidR="00201451">
        <w:rPr>
          <w:rFonts w:asciiTheme="minorHAnsi" w:hAnsiTheme="minorHAnsi"/>
          <w:sz w:val="18"/>
          <w:szCs w:val="18"/>
        </w:rPr>
        <w:t>2014/65/EU ze dne 15. května 2014</w:t>
      </w:r>
      <w:r w:rsidR="00AA3C5D">
        <w:rPr>
          <w:rFonts w:asciiTheme="minorHAnsi" w:hAnsiTheme="minorHAnsi"/>
          <w:sz w:val="18"/>
          <w:szCs w:val="18"/>
        </w:rPr>
        <w:t xml:space="preserve"> </w:t>
      </w:r>
      <w:r w:rsidR="00201451" w:rsidRPr="00201451">
        <w:rPr>
          <w:rFonts w:asciiTheme="minorHAnsi" w:hAnsiTheme="minorHAnsi"/>
          <w:sz w:val="18"/>
          <w:szCs w:val="18"/>
        </w:rPr>
        <w:t xml:space="preserve">o trzích finančních nástrojů a o </w:t>
      </w:r>
      <w:r w:rsidR="00201451" w:rsidRPr="00FE2A0B">
        <w:rPr>
          <w:rFonts w:asciiTheme="minorHAnsi" w:hAnsiTheme="minorHAnsi"/>
          <w:sz w:val="18"/>
          <w:szCs w:val="18"/>
        </w:rPr>
        <w:t>změně směrnic 2002/92/ES a 2011/61/EU</w:t>
      </w:r>
      <w:r w:rsidRPr="00FE2A0B">
        <w:rPr>
          <w:rFonts w:asciiTheme="minorHAnsi" w:hAnsiTheme="minorHAnsi"/>
          <w:sz w:val="18"/>
          <w:szCs w:val="18"/>
        </w:rPr>
        <w:t xml:space="preserve"> (dále jen „</w:t>
      </w:r>
      <w:r w:rsidR="000D6D57" w:rsidRPr="00FE2A0B">
        <w:rPr>
          <w:rStyle w:val="Siln"/>
          <w:rFonts w:asciiTheme="minorHAnsi" w:hAnsiTheme="minorHAnsi"/>
          <w:sz w:val="18"/>
          <w:szCs w:val="18"/>
        </w:rPr>
        <w:t>MI</w:t>
      </w:r>
      <w:r w:rsidRPr="00FE2A0B">
        <w:rPr>
          <w:rStyle w:val="Siln"/>
          <w:rFonts w:asciiTheme="minorHAnsi" w:hAnsiTheme="minorHAnsi"/>
          <w:sz w:val="18"/>
          <w:szCs w:val="18"/>
        </w:rPr>
        <w:t>FID</w:t>
      </w:r>
      <w:r w:rsidR="00201451" w:rsidRPr="00FE2A0B">
        <w:rPr>
          <w:rStyle w:val="Siln"/>
          <w:rFonts w:asciiTheme="minorHAnsi" w:hAnsiTheme="minorHAnsi"/>
          <w:sz w:val="18"/>
          <w:szCs w:val="18"/>
        </w:rPr>
        <w:t xml:space="preserve"> II</w:t>
      </w:r>
      <w:r w:rsidRPr="00FE2A0B">
        <w:rPr>
          <w:rFonts w:asciiTheme="minorHAnsi" w:hAnsiTheme="minorHAnsi"/>
          <w:sz w:val="18"/>
          <w:szCs w:val="18"/>
        </w:rPr>
        <w:t xml:space="preserve">“), </w:t>
      </w:r>
      <w:r w:rsidRPr="00417A78">
        <w:rPr>
          <w:rFonts w:asciiTheme="minorHAnsi" w:hAnsiTheme="minorHAnsi" w:cstheme="minorHAnsi"/>
          <w:sz w:val="18"/>
          <w:szCs w:val="18"/>
        </w:rPr>
        <w:t>společnost</w:t>
      </w:r>
      <w:bookmarkStart w:id="1" w:name="_Hlk34727798"/>
      <w:r w:rsidR="00417A78">
        <w:rPr>
          <w:rFonts w:asciiTheme="minorHAnsi" w:hAnsiTheme="minorHAnsi" w:cstheme="minorHAnsi"/>
          <w:sz w:val="18"/>
          <w:szCs w:val="18"/>
        </w:rPr>
        <w:t xml:space="preserve"> </w:t>
      </w:r>
      <w:r w:rsidR="00FE5B8F">
        <w:rPr>
          <w:b/>
          <w:bCs/>
          <w:sz w:val="18"/>
          <w:szCs w:val="18"/>
          <w:shd w:val="clear" w:color="auto" w:fill="FFFFFF"/>
        </w:rPr>
        <w:t xml:space="preserve">MM </w:t>
      </w:r>
      <w:proofErr w:type="spellStart"/>
      <w:r w:rsidR="00FE5B8F">
        <w:rPr>
          <w:b/>
          <w:bCs/>
          <w:sz w:val="18"/>
          <w:szCs w:val="18"/>
          <w:shd w:val="clear" w:color="auto" w:fill="FFFFFF"/>
        </w:rPr>
        <w:t>Optimal</w:t>
      </w:r>
      <w:proofErr w:type="spellEnd"/>
      <w:r w:rsidR="00FE5B8F">
        <w:rPr>
          <w:b/>
          <w:bCs/>
          <w:sz w:val="18"/>
          <w:szCs w:val="18"/>
          <w:shd w:val="clear" w:color="auto" w:fill="FFFFFF"/>
        </w:rPr>
        <w:t>, s.r.o.</w:t>
      </w:r>
      <w:r w:rsidR="00FE5B8F">
        <w:rPr>
          <w:sz w:val="18"/>
          <w:szCs w:val="18"/>
          <w:shd w:val="clear" w:color="auto" w:fill="FFFFFF"/>
        </w:rPr>
        <w:t>, IČ: 01579789</w:t>
      </w:r>
      <w:bookmarkEnd w:id="1"/>
      <w:r w:rsidR="00FE5B8F">
        <w:rPr>
          <w:sz w:val="18"/>
          <w:szCs w:val="18"/>
          <w:shd w:val="clear" w:color="auto" w:fill="FFFFFF"/>
        </w:rPr>
        <w:t xml:space="preserve"> </w:t>
      </w:r>
      <w:r w:rsidR="00417A78" w:rsidRPr="00417A78">
        <w:rPr>
          <w:rFonts w:asciiTheme="minorHAnsi" w:hAnsiTheme="minorHAnsi" w:cstheme="minorHAnsi"/>
          <w:sz w:val="18"/>
          <w:szCs w:val="18"/>
        </w:rPr>
        <w:t xml:space="preserve">(dále </w:t>
      </w:r>
      <w:r w:rsidR="00417A78" w:rsidRPr="00417A78">
        <w:rPr>
          <w:rFonts w:asciiTheme="minorHAnsi" w:hAnsiTheme="minorHAnsi" w:cstheme="minorHAnsi"/>
          <w:b/>
          <w:sz w:val="18"/>
          <w:szCs w:val="18"/>
        </w:rPr>
        <w:t>„Zprostředkovatel“</w:t>
      </w:r>
      <w:r w:rsidR="00417A78" w:rsidRPr="00417A78">
        <w:rPr>
          <w:rFonts w:asciiTheme="minorHAnsi" w:hAnsiTheme="minorHAnsi" w:cstheme="minorHAnsi"/>
          <w:sz w:val="18"/>
          <w:szCs w:val="18"/>
        </w:rPr>
        <w:t xml:space="preserve"> nebo </w:t>
      </w:r>
      <w:r w:rsidR="00417A78" w:rsidRPr="00417A78">
        <w:rPr>
          <w:rFonts w:asciiTheme="minorHAnsi" w:hAnsiTheme="minorHAnsi" w:cstheme="minorHAnsi"/>
          <w:b/>
          <w:sz w:val="18"/>
          <w:szCs w:val="18"/>
        </w:rPr>
        <w:t>„Společnost“</w:t>
      </w:r>
      <w:r w:rsidR="00417A78" w:rsidRPr="00417A78">
        <w:rPr>
          <w:rFonts w:asciiTheme="minorHAnsi" w:hAnsiTheme="minorHAnsi" w:cstheme="minorHAnsi"/>
          <w:sz w:val="18"/>
          <w:szCs w:val="18"/>
        </w:rPr>
        <w:t xml:space="preserve">) </w:t>
      </w:r>
      <w:r w:rsidRPr="00417A78">
        <w:rPr>
          <w:rFonts w:asciiTheme="minorHAnsi" w:hAnsiTheme="minorHAnsi"/>
          <w:sz w:val="18"/>
          <w:szCs w:val="18"/>
        </w:rPr>
        <w:t>m</w:t>
      </w:r>
      <w:r w:rsidRPr="00FE2A0B">
        <w:rPr>
          <w:rFonts w:asciiTheme="minorHAnsi" w:hAnsiTheme="minorHAnsi"/>
          <w:sz w:val="18"/>
          <w:szCs w:val="18"/>
        </w:rPr>
        <w:t>á zavedena následující pravidla pro kategorizaci zákazníků, kterým poskytuje investiční služby.</w:t>
      </w:r>
      <w:r w:rsidRPr="00EC20F1">
        <w:rPr>
          <w:rFonts w:asciiTheme="minorHAnsi" w:hAnsiTheme="minorHAnsi"/>
          <w:sz w:val="18"/>
          <w:szCs w:val="18"/>
        </w:rPr>
        <w:t xml:space="preserve"> </w:t>
      </w:r>
    </w:p>
    <w:p w14:paraId="7C8154A6" w14:textId="77777777" w:rsidR="000C32D8" w:rsidRPr="00EC20F1" w:rsidRDefault="000C32D8" w:rsidP="000C32D8">
      <w:pPr>
        <w:pStyle w:val="Nadpis1"/>
        <w:numPr>
          <w:ilvl w:val="0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sz w:val="18"/>
          <w:szCs w:val="18"/>
        </w:rPr>
      </w:pPr>
      <w:bookmarkStart w:id="2" w:name="_Toc499897769"/>
      <w:r w:rsidRPr="00EC20F1">
        <w:rPr>
          <w:rFonts w:asciiTheme="minorHAnsi" w:hAnsiTheme="minorHAnsi"/>
          <w:sz w:val="18"/>
          <w:szCs w:val="18"/>
        </w:rPr>
        <w:t xml:space="preserve">Kategorie zákazníků dle MIFID </w:t>
      </w:r>
      <w:r w:rsidR="00201451">
        <w:rPr>
          <w:rFonts w:asciiTheme="minorHAnsi" w:hAnsiTheme="minorHAnsi"/>
          <w:sz w:val="18"/>
          <w:szCs w:val="18"/>
        </w:rPr>
        <w:t>II</w:t>
      </w:r>
      <w:bookmarkEnd w:id="2"/>
    </w:p>
    <w:p w14:paraId="08995513" w14:textId="77777777" w:rsidR="000C32D8" w:rsidRPr="00EC20F1" w:rsidRDefault="000C32D8" w:rsidP="000C32D8">
      <w:pPr>
        <w:spacing w:after="6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V souladu s</w:t>
      </w:r>
      <w:r w:rsidR="00201451">
        <w:rPr>
          <w:rFonts w:asciiTheme="minorHAnsi" w:hAnsiTheme="minorHAnsi"/>
          <w:sz w:val="18"/>
          <w:szCs w:val="18"/>
        </w:rPr>
        <w:t xml:space="preserve"> </w:t>
      </w:r>
      <w:r w:rsidRPr="00EC20F1">
        <w:rPr>
          <w:rFonts w:asciiTheme="minorHAnsi" w:hAnsiTheme="minorHAnsi"/>
          <w:sz w:val="18"/>
          <w:szCs w:val="18"/>
        </w:rPr>
        <w:t>MIFID</w:t>
      </w:r>
      <w:r w:rsidR="00201451">
        <w:rPr>
          <w:rFonts w:asciiTheme="minorHAnsi" w:hAnsiTheme="minorHAnsi"/>
          <w:sz w:val="18"/>
          <w:szCs w:val="18"/>
        </w:rPr>
        <w:t xml:space="preserve"> II</w:t>
      </w:r>
      <w:r w:rsidRPr="00EC20F1">
        <w:rPr>
          <w:rFonts w:asciiTheme="minorHAnsi" w:hAnsiTheme="minorHAnsi"/>
          <w:sz w:val="18"/>
          <w:szCs w:val="18"/>
        </w:rPr>
        <w:t xml:space="preserve"> vymezuje ZPKT základní kategorie zákazníků. Tato koncepce má zajistit každé kategorii zákazníků adekvátní míru ochrany. ZPKT rozlišuje tři základní skupiny zákazníků:</w:t>
      </w:r>
    </w:p>
    <w:p w14:paraId="7D617B9C" w14:textId="77777777" w:rsidR="000C32D8" w:rsidRPr="00EC20F1" w:rsidRDefault="00F401D5" w:rsidP="000C32D8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zákazník, který není profesionálním zákazníkem (dále jen „</w:t>
      </w:r>
      <w:r w:rsidR="000C32D8" w:rsidRPr="00EC20F1">
        <w:rPr>
          <w:rFonts w:asciiTheme="minorHAnsi" w:hAnsiTheme="minorHAnsi"/>
          <w:sz w:val="18"/>
          <w:szCs w:val="18"/>
        </w:rPr>
        <w:t>neprofesionální zákazník</w:t>
      </w:r>
      <w:r>
        <w:rPr>
          <w:rFonts w:asciiTheme="minorHAnsi" w:hAnsiTheme="minorHAnsi"/>
          <w:sz w:val="18"/>
          <w:szCs w:val="18"/>
        </w:rPr>
        <w:t>“)</w:t>
      </w:r>
      <w:r w:rsidR="000C32D8" w:rsidRPr="00EC20F1">
        <w:rPr>
          <w:rFonts w:asciiTheme="minorHAnsi" w:hAnsiTheme="minorHAnsi"/>
          <w:sz w:val="18"/>
          <w:szCs w:val="18"/>
        </w:rPr>
        <w:t>,</w:t>
      </w:r>
    </w:p>
    <w:p w14:paraId="1FD01B57" w14:textId="77777777" w:rsidR="000C32D8" w:rsidRPr="00EC20F1" w:rsidRDefault="000C32D8" w:rsidP="000C32D8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profesionální zákazník,</w:t>
      </w:r>
    </w:p>
    <w:p w14:paraId="0DB5A243" w14:textId="7A8AB243" w:rsidR="000C32D8" w:rsidRPr="00EC20F1" w:rsidRDefault="000C32D8" w:rsidP="000C32D8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profesionální zákazník se zvláštním statutem - tzv. způsobilá protistrana.</w:t>
      </w:r>
    </w:p>
    <w:p w14:paraId="0C1EAD06" w14:textId="77777777" w:rsidR="000C32D8" w:rsidRPr="00EC20F1" w:rsidRDefault="000C32D8" w:rsidP="000C32D8">
      <w:pPr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</w:p>
    <w:p w14:paraId="0FE07A00" w14:textId="77777777" w:rsidR="000C32D8" w:rsidRPr="00EC20F1" w:rsidRDefault="000C32D8" w:rsidP="000C32D8">
      <w:pPr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Zprostředkovatel pro účely poskytování investičních služeb je povinen zařadit zákazníka do jedné z výše uvedených kategorií a zároveň zákazníka o takovém zařazení informovat.</w:t>
      </w:r>
    </w:p>
    <w:p w14:paraId="31B51C08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3" w:name="_Toc499897770"/>
      <w:r w:rsidRPr="00EC20F1">
        <w:rPr>
          <w:rFonts w:asciiTheme="minorHAnsi" w:hAnsiTheme="minorHAnsi"/>
          <w:i w:val="0"/>
          <w:sz w:val="18"/>
          <w:szCs w:val="18"/>
        </w:rPr>
        <w:t>Neprofesionální zákazník</w:t>
      </w:r>
      <w:bookmarkEnd w:id="3"/>
    </w:p>
    <w:p w14:paraId="0C012412" w14:textId="77777777" w:rsidR="000C32D8" w:rsidRPr="00EC20F1" w:rsidRDefault="000C32D8" w:rsidP="000C32D8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Mezi neprofesionální zákazníky budou zařazeny osoby, které:</w:t>
      </w:r>
    </w:p>
    <w:p w14:paraId="22D16CC1" w14:textId="77777777" w:rsidR="000C32D8" w:rsidRPr="00EC20F1" w:rsidRDefault="000C32D8" w:rsidP="000C32D8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nesplňují požadavky pro profesionální zákazníky či způsobilé protistrany, nebo</w:t>
      </w:r>
    </w:p>
    <w:p w14:paraId="5745F404" w14:textId="77777777" w:rsidR="000C32D8" w:rsidRPr="00EC20F1" w:rsidRDefault="000C32D8" w:rsidP="000C32D8">
      <w:pPr>
        <w:numPr>
          <w:ilvl w:val="0"/>
          <w:numId w:val="4"/>
        </w:numPr>
        <w:spacing w:after="60" w:line="240" w:lineRule="auto"/>
        <w:ind w:left="1418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splňují požadavky pro profesionální zákazníky či způsobilé protistrany, ale došlo jedním ze způsobů níže uvedených k jejich přeřazení do kategorie neprofesionálních zákazníků.</w:t>
      </w:r>
    </w:p>
    <w:p w14:paraId="31AF175E" w14:textId="77777777" w:rsidR="000C32D8" w:rsidRPr="00EC20F1" w:rsidRDefault="000C32D8" w:rsidP="000C32D8">
      <w:pPr>
        <w:numPr>
          <w:ilvl w:val="0"/>
          <w:numId w:val="3"/>
        </w:numPr>
        <w:spacing w:after="6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Neprofesionálními zákazníky jsou především fyzické osoby a právnické osoby, jejichž výše aktiv, </w:t>
      </w:r>
      <w:r w:rsidR="007550F7">
        <w:rPr>
          <w:rFonts w:asciiTheme="minorHAnsi" w:hAnsiTheme="minorHAnsi"/>
          <w:sz w:val="18"/>
          <w:szCs w:val="18"/>
        </w:rPr>
        <w:t>vlastního</w:t>
      </w:r>
      <w:r w:rsidR="007550F7" w:rsidRPr="00EC20F1">
        <w:rPr>
          <w:rFonts w:asciiTheme="minorHAnsi" w:hAnsiTheme="minorHAnsi"/>
          <w:sz w:val="18"/>
          <w:szCs w:val="18"/>
        </w:rPr>
        <w:t xml:space="preserve"> </w:t>
      </w:r>
      <w:r w:rsidRPr="00EC20F1">
        <w:rPr>
          <w:rFonts w:asciiTheme="minorHAnsi" w:hAnsiTheme="minorHAnsi"/>
          <w:sz w:val="18"/>
          <w:szCs w:val="18"/>
        </w:rPr>
        <w:t xml:space="preserve">kapitálu nebo </w:t>
      </w:r>
      <w:r w:rsidR="007550F7">
        <w:rPr>
          <w:rFonts w:asciiTheme="minorHAnsi" w:hAnsiTheme="minorHAnsi"/>
          <w:sz w:val="18"/>
          <w:szCs w:val="18"/>
        </w:rPr>
        <w:t>ročního úhrnu čistého</w:t>
      </w:r>
      <w:r w:rsidRPr="00EC20F1">
        <w:rPr>
          <w:rFonts w:asciiTheme="minorHAnsi" w:hAnsiTheme="minorHAnsi"/>
          <w:sz w:val="18"/>
          <w:szCs w:val="18"/>
        </w:rPr>
        <w:t xml:space="preserve"> obratu nedosahuje takové výše, aby mohly být zařazeny do kategorie profesionálních zákazníků.</w:t>
      </w:r>
    </w:p>
    <w:p w14:paraId="252049CA" w14:textId="77777777" w:rsidR="000C32D8" w:rsidRPr="00EC20F1" w:rsidRDefault="000C32D8" w:rsidP="000C32D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Neprofesionálním zákazníkům poskytuje Zprostředkovatel nejvyšší stupeň ochrany, a to především v oblasti:</w:t>
      </w:r>
    </w:p>
    <w:p w14:paraId="62BB9FA6" w14:textId="77777777" w:rsidR="000C32D8" w:rsidRPr="00EC20F1" w:rsidRDefault="000C32D8" w:rsidP="000C32D8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Theme="minorHAnsi" w:hAnsiTheme="minorHAnsi"/>
          <w:i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informování zákazníků – neprofesionálním zákazníkům jsou předávány informace a poskytována poučení v daleko širším rozsahu než u zbylých dvou kategorií;</w:t>
      </w:r>
    </w:p>
    <w:p w14:paraId="52E89844" w14:textId="77777777" w:rsidR="000C32D8" w:rsidRDefault="000C32D8" w:rsidP="000C32D8">
      <w:pPr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vyžadování informací od zákazníků – Zprostředkovatel podrobně prověřuje vhodnost či přiměřenost investičních služeb nebo investičních nástrojů pro každého neprofesionálního zákazníka, aniž by měl možnost předpokládat některé odpovědi</w:t>
      </w:r>
      <w:r w:rsidR="00FE2A0B">
        <w:rPr>
          <w:rFonts w:asciiTheme="minorHAnsi" w:hAnsiTheme="minorHAnsi"/>
          <w:sz w:val="18"/>
          <w:szCs w:val="18"/>
        </w:rPr>
        <w:t>.</w:t>
      </w:r>
    </w:p>
    <w:p w14:paraId="4026574C" w14:textId="77777777" w:rsidR="00FE2A0B" w:rsidRPr="00EC20F1" w:rsidRDefault="00FE2A0B" w:rsidP="00FE2A0B">
      <w:pPr>
        <w:spacing w:after="0" w:line="240" w:lineRule="auto"/>
        <w:ind w:left="1418"/>
        <w:jc w:val="both"/>
        <w:rPr>
          <w:rFonts w:asciiTheme="minorHAnsi" w:hAnsiTheme="minorHAnsi"/>
          <w:sz w:val="18"/>
          <w:szCs w:val="18"/>
        </w:rPr>
      </w:pPr>
    </w:p>
    <w:p w14:paraId="19EFDC59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4" w:name="_Toc499897771"/>
      <w:r w:rsidRPr="00EC20F1">
        <w:rPr>
          <w:rFonts w:asciiTheme="minorHAnsi" w:hAnsiTheme="minorHAnsi"/>
          <w:i w:val="0"/>
          <w:sz w:val="18"/>
          <w:szCs w:val="18"/>
        </w:rPr>
        <w:t>Profesionální zákazník</w:t>
      </w:r>
      <w:bookmarkEnd w:id="4"/>
    </w:p>
    <w:p w14:paraId="21E4FEBA" w14:textId="77777777" w:rsidR="000C32D8" w:rsidRPr="00EC20F1" w:rsidRDefault="000C32D8" w:rsidP="000C32D8">
      <w:pPr>
        <w:numPr>
          <w:ilvl w:val="0"/>
          <w:numId w:val="6"/>
        </w:numPr>
        <w:spacing w:after="0" w:line="240" w:lineRule="auto"/>
        <w:ind w:left="851" w:hanging="284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Mezi profesionální zákazníky budou zařazeny:</w:t>
      </w:r>
    </w:p>
    <w:p w14:paraId="690CE87B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banky, </w:t>
      </w:r>
    </w:p>
    <w:p w14:paraId="2F3F9864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spořitelní a úvěrní družstva,</w:t>
      </w:r>
    </w:p>
    <w:p w14:paraId="35C608C6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obchodníci s cennými papíry,</w:t>
      </w:r>
    </w:p>
    <w:p w14:paraId="094B629C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pojišťovny,</w:t>
      </w:r>
    </w:p>
    <w:p w14:paraId="2C12A382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zajišťovny,</w:t>
      </w:r>
    </w:p>
    <w:p w14:paraId="62178BD7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investiční společnosti,</w:t>
      </w:r>
    </w:p>
    <w:p w14:paraId="3C5C9A3C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investiční fondy,</w:t>
      </w:r>
    </w:p>
    <w:p w14:paraId="4795D58D" w14:textId="77777777" w:rsidR="000C32D8" w:rsidRPr="00587CA4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587CA4">
        <w:rPr>
          <w:rFonts w:asciiTheme="minorHAnsi" w:hAnsiTheme="minorHAnsi"/>
          <w:sz w:val="18"/>
          <w:szCs w:val="18"/>
        </w:rPr>
        <w:t>penzijní společnosti,</w:t>
      </w:r>
    </w:p>
    <w:p w14:paraId="6FBC5FE6" w14:textId="7235ECF1" w:rsidR="00BB7ADC" w:rsidRPr="00587CA4" w:rsidRDefault="00BB7ADC" w:rsidP="00BB7ADC">
      <w:pPr>
        <w:pStyle w:val="lag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sz w:val="16"/>
          <w:szCs w:val="18"/>
        </w:rPr>
      </w:pPr>
      <w:r w:rsidRPr="00587CA4">
        <w:rPr>
          <w:rFonts w:asciiTheme="minorHAnsi" w:hAnsiTheme="minorHAnsi" w:cs="Arial"/>
          <w:sz w:val="18"/>
          <w:szCs w:val="20"/>
        </w:rPr>
        <w:t>jin</w:t>
      </w:r>
      <w:r w:rsidR="004C49D3" w:rsidRPr="00587CA4">
        <w:rPr>
          <w:rFonts w:asciiTheme="minorHAnsi" w:hAnsiTheme="minorHAnsi" w:cs="Arial"/>
          <w:sz w:val="18"/>
          <w:szCs w:val="20"/>
        </w:rPr>
        <w:t>é</w:t>
      </w:r>
      <w:r w:rsidRPr="00587CA4">
        <w:rPr>
          <w:rFonts w:asciiTheme="minorHAnsi" w:hAnsiTheme="minorHAnsi" w:cs="Arial"/>
          <w:sz w:val="18"/>
          <w:szCs w:val="20"/>
        </w:rPr>
        <w:t xml:space="preserve"> osob</w:t>
      </w:r>
      <w:r w:rsidR="00443A2B" w:rsidRPr="00587CA4">
        <w:rPr>
          <w:rFonts w:asciiTheme="minorHAnsi" w:hAnsiTheme="minorHAnsi" w:cs="Arial"/>
          <w:sz w:val="18"/>
          <w:szCs w:val="20"/>
        </w:rPr>
        <w:t>y, které</w:t>
      </w:r>
      <w:r w:rsidRPr="00587CA4">
        <w:rPr>
          <w:rFonts w:asciiTheme="minorHAnsi" w:hAnsiTheme="minorHAnsi" w:cs="Arial"/>
          <w:sz w:val="18"/>
          <w:szCs w:val="20"/>
        </w:rPr>
        <w:t xml:space="preserve"> podnik</w:t>
      </w:r>
      <w:r w:rsidR="00443A2B" w:rsidRPr="00587CA4">
        <w:rPr>
          <w:rFonts w:asciiTheme="minorHAnsi" w:hAnsiTheme="minorHAnsi" w:cs="Arial"/>
          <w:sz w:val="18"/>
          <w:szCs w:val="20"/>
        </w:rPr>
        <w:t>ají</w:t>
      </w:r>
      <w:r w:rsidRPr="00587CA4">
        <w:rPr>
          <w:rFonts w:asciiTheme="minorHAnsi" w:hAnsiTheme="minorHAnsi" w:cs="Arial"/>
          <w:sz w:val="18"/>
          <w:szCs w:val="20"/>
        </w:rPr>
        <w:t xml:space="preserve"> na finančním trhu na základě oprávnění uděleného orgánem dohledu nad finančním trhem, s výjimkou 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1.</w:t>
      </w:r>
      <w:r w:rsidRPr="00587CA4">
        <w:rPr>
          <w:rFonts w:asciiTheme="minorHAnsi" w:hAnsiTheme="minorHAnsi" w:cs="Arial"/>
          <w:sz w:val="18"/>
          <w:szCs w:val="20"/>
        </w:rPr>
        <w:t> vázaného zástupce podle ZPKT, 2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.</w:t>
      </w:r>
      <w:r w:rsidRPr="00587CA4">
        <w:rPr>
          <w:rFonts w:asciiTheme="minorHAnsi" w:hAnsiTheme="minorHAnsi" w:cs="Arial"/>
          <w:sz w:val="18"/>
          <w:szCs w:val="20"/>
        </w:rPr>
        <w:t> vázaného zástupce a zprostředkovatele vázaného spotřebitelského úvěru podle zákona upravujícího spotřebitelský úvěr, 3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.</w:t>
      </w:r>
      <w:r w:rsidRPr="00587CA4">
        <w:rPr>
          <w:rFonts w:asciiTheme="minorHAnsi" w:hAnsiTheme="minorHAnsi" w:cs="Arial"/>
          <w:sz w:val="18"/>
          <w:szCs w:val="20"/>
        </w:rPr>
        <w:t xml:space="preserve"> vázaného zástupce podle zákona upravujícího doplňkové penzijní spoření a 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4.</w:t>
      </w:r>
      <w:r w:rsidRPr="00587CA4">
        <w:rPr>
          <w:rFonts w:asciiTheme="minorHAnsi" w:hAnsiTheme="minorHAnsi" w:cs="Arial"/>
          <w:sz w:val="18"/>
          <w:szCs w:val="20"/>
        </w:rPr>
        <w:t> vázaného zástupce a doplňkového pojišťovacího zprostředkovatele podle zákona upravujícího distribuci pojištění a zajištění,</w:t>
      </w:r>
    </w:p>
    <w:p w14:paraId="3DA5F978" w14:textId="77777777" w:rsidR="000C32D8" w:rsidRPr="00EC20F1" w:rsidRDefault="000C32D8" w:rsidP="000C3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osoby, které jako svou rozhodující činnost provádějí </w:t>
      </w:r>
      <w:proofErr w:type="spellStart"/>
      <w:r w:rsidRPr="00EC20F1">
        <w:rPr>
          <w:rFonts w:asciiTheme="minorHAnsi" w:hAnsiTheme="minorHAnsi"/>
          <w:sz w:val="18"/>
          <w:szCs w:val="18"/>
        </w:rPr>
        <w:t>sekuritizaci</w:t>
      </w:r>
      <w:proofErr w:type="spellEnd"/>
      <w:r w:rsidRPr="00EC20F1">
        <w:rPr>
          <w:rFonts w:asciiTheme="minorHAnsi" w:hAnsiTheme="minorHAnsi"/>
          <w:sz w:val="18"/>
          <w:szCs w:val="18"/>
        </w:rPr>
        <w:t>,</w:t>
      </w:r>
    </w:p>
    <w:p w14:paraId="23605407" w14:textId="77777777" w:rsidR="000C32D8" w:rsidRPr="00EC20F1" w:rsidRDefault="000C32D8" w:rsidP="000C32D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osoby, které obchodují na vlastní účet s investičními nástroji za účelem snížení rizika (</w:t>
      </w:r>
      <w:proofErr w:type="spellStart"/>
      <w:r w:rsidRPr="00EC20F1">
        <w:rPr>
          <w:rFonts w:asciiTheme="minorHAnsi" w:hAnsiTheme="minorHAnsi"/>
          <w:sz w:val="18"/>
          <w:szCs w:val="18"/>
        </w:rPr>
        <w:t>hedging</w:t>
      </w:r>
      <w:proofErr w:type="spellEnd"/>
      <w:r w:rsidRPr="00EC20F1">
        <w:rPr>
          <w:rFonts w:asciiTheme="minorHAnsi" w:hAnsiTheme="minorHAnsi"/>
          <w:sz w:val="18"/>
          <w:szCs w:val="18"/>
        </w:rPr>
        <w:t>) z obchodů s investičními nástroji uvedenými v § 3 odst. 1 písm. d) až k) ZPKT (deriváty) a tato činnost patří mezi jejich rozhodující činnosti,</w:t>
      </w:r>
    </w:p>
    <w:p w14:paraId="41844571" w14:textId="77777777" w:rsidR="000C32D8" w:rsidRPr="00EC20F1" w:rsidRDefault="000C32D8" w:rsidP="000C32D8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osoby, které obchodují na vlastní účet s investičními nástroji uvedenými v § 3 odst. 1 písm. g) až i) ZPKT (komoditní deriváty) nebo komoditami a tato činnost patří mezi jejich rozhodující činnosti,</w:t>
      </w:r>
    </w:p>
    <w:p w14:paraId="0A68E309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lastRenderedPageBreak/>
        <w:t>právnické osoby, které jsou příslušné hospodařit s majetkem státu při zajišťování nákupu, prodeje nebo správy jeho pohledávek nebo jiných aktiv, anebo při restrukturalizaci obchodních společností nebo jiných právnických osob s majetkovou účastí státu,</w:t>
      </w:r>
    </w:p>
    <w:p w14:paraId="74DA81B8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zahraniční osoby s obdobnou činností jako některá z osob uvedených v předchozích odrážkách,</w:t>
      </w:r>
    </w:p>
    <w:p w14:paraId="7DAF6B8C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státy nebo členské státy federace,</w:t>
      </w:r>
    </w:p>
    <w:p w14:paraId="4DBDD5DD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Česká národní banka, zahraniční centrální banka nebo Evropská centrální banka,</w:t>
      </w:r>
    </w:p>
    <w:p w14:paraId="06C270CE" w14:textId="77777777" w:rsidR="000C32D8" w:rsidRPr="00EC20F1" w:rsidRDefault="000C32D8" w:rsidP="000C32D8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Světová banka, Mezinárodní měnový fond, Evropská investiční banka nebo jiná mezinárodní finanční instituce,</w:t>
      </w:r>
    </w:p>
    <w:p w14:paraId="6C6E496D" w14:textId="77777777" w:rsidR="000C32D8" w:rsidRPr="00EC20F1" w:rsidRDefault="007D6118" w:rsidP="000C32D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tuzemské </w:t>
      </w:r>
      <w:r w:rsidR="00337C6B" w:rsidRPr="00EC20F1">
        <w:rPr>
          <w:rFonts w:asciiTheme="minorHAnsi" w:hAnsiTheme="minorHAnsi"/>
          <w:sz w:val="18"/>
          <w:szCs w:val="18"/>
        </w:rPr>
        <w:t>právnické</w:t>
      </w:r>
      <w:r w:rsidR="00337C6B">
        <w:rPr>
          <w:rFonts w:asciiTheme="minorHAnsi" w:hAnsiTheme="minorHAnsi"/>
          <w:sz w:val="18"/>
          <w:szCs w:val="18"/>
        </w:rPr>
        <w:t xml:space="preserve"> a</w:t>
      </w:r>
      <w:r>
        <w:rPr>
          <w:rFonts w:asciiTheme="minorHAnsi" w:hAnsiTheme="minorHAnsi"/>
          <w:sz w:val="18"/>
          <w:szCs w:val="18"/>
        </w:rPr>
        <w:t xml:space="preserve"> zahraniční </w:t>
      </w:r>
      <w:r w:rsidR="000C32D8" w:rsidRPr="00EC20F1">
        <w:rPr>
          <w:rFonts w:asciiTheme="minorHAnsi" w:hAnsiTheme="minorHAnsi"/>
          <w:sz w:val="18"/>
          <w:szCs w:val="18"/>
        </w:rPr>
        <w:t>osoby založené za účelem podnikání, které podle poslední účetní závěrky splňují alespoň 2 ze 3 kritérií, kterými jsou:</w:t>
      </w:r>
    </w:p>
    <w:p w14:paraId="5E03DC72" w14:textId="77777777" w:rsidR="000C32D8" w:rsidRPr="00EC20F1" w:rsidRDefault="003E4433" w:rsidP="000C32D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aktiva celkem</w:t>
      </w:r>
      <w:r w:rsidR="000C32D8" w:rsidRPr="00EC20F1">
        <w:rPr>
          <w:rFonts w:asciiTheme="minorHAnsi" w:hAnsiTheme="minorHAnsi"/>
          <w:sz w:val="18"/>
          <w:szCs w:val="18"/>
        </w:rPr>
        <w:t xml:space="preserve"> odpovídají částce alespoň 20 000 000 EUR,</w:t>
      </w:r>
    </w:p>
    <w:p w14:paraId="552CF960" w14:textId="77777777" w:rsidR="000C32D8" w:rsidRPr="00EC20F1" w:rsidRDefault="00DB04E0" w:rsidP="000C32D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roční úhrn čistého obratu</w:t>
      </w:r>
      <w:r w:rsidR="000C32D8" w:rsidRPr="00EC20F1">
        <w:rPr>
          <w:rFonts w:asciiTheme="minorHAnsi" w:hAnsiTheme="minorHAnsi"/>
          <w:sz w:val="18"/>
          <w:szCs w:val="18"/>
        </w:rPr>
        <w:t xml:space="preserve"> odpovídající částce alespoň 40 000 000 EUR,</w:t>
      </w:r>
    </w:p>
    <w:p w14:paraId="3967AA4C" w14:textId="77777777" w:rsidR="000C32D8" w:rsidRPr="00EC20F1" w:rsidRDefault="000C32D8" w:rsidP="000C32D8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vlastní kapitál odpovídající částce alespoň 2 000 000 EUR,</w:t>
      </w:r>
    </w:p>
    <w:p w14:paraId="58FCF7F4" w14:textId="77777777" w:rsidR="000C32D8" w:rsidRPr="00EC20F1" w:rsidRDefault="000C32D8" w:rsidP="000C32D8">
      <w:pPr>
        <w:numPr>
          <w:ilvl w:val="0"/>
          <w:numId w:val="13"/>
        </w:numPr>
        <w:spacing w:after="6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osoby, které byly do skupiny profesionálních zákazníků zařazeny na základě níže popsaného postupu.</w:t>
      </w:r>
    </w:p>
    <w:p w14:paraId="7BC13D61" w14:textId="77777777" w:rsidR="000C32D8" w:rsidRPr="00EC20F1" w:rsidRDefault="000C32D8" w:rsidP="000C32D8">
      <w:pPr>
        <w:numPr>
          <w:ilvl w:val="0"/>
          <w:numId w:val="6"/>
        </w:numPr>
        <w:spacing w:after="6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V případě pochybností, zdali zákazník splňuje předpoklady pro zařazení mezi profesionální zákazníky, bude tento zákazník zařazen mezi zákazníky neprofesionální. Zákazník může následně požádat o změnu kategorie podle článku 3.</w:t>
      </w:r>
    </w:p>
    <w:p w14:paraId="3F5CA81A" w14:textId="25F0715F" w:rsidR="000C32D8" w:rsidRPr="00EC20F1" w:rsidRDefault="000C32D8" w:rsidP="000C32D8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Profesionálním zákazníkům poskytuje Zprostředkovatel minimální nutnou úroveň ochrany, to znamená například, že:</w:t>
      </w:r>
    </w:p>
    <w:p w14:paraId="60A9BCA5" w14:textId="77777777" w:rsidR="000C32D8" w:rsidRPr="00EC20F1" w:rsidRDefault="000C32D8" w:rsidP="000C32D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profesionálním zákazníkům nejsou poskytovány informace a poučení v takovém rozsahu jako zákazníkům neprofesionálním;</w:t>
      </w:r>
    </w:p>
    <w:p w14:paraId="6AB6DF8E" w14:textId="77777777" w:rsidR="000C32D8" w:rsidRDefault="000C32D8" w:rsidP="000C32D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pro účely vyžadování informací od zákazníků (investiční dotazník) při poskytování investičních služeb má Zprostředkovatel za to, že profesionální zákazník</w:t>
      </w:r>
      <w:r w:rsidR="00FE6910">
        <w:rPr>
          <w:rFonts w:asciiTheme="minorHAnsi" w:hAnsiTheme="minorHAnsi"/>
          <w:sz w:val="18"/>
          <w:szCs w:val="18"/>
        </w:rPr>
        <w:t xml:space="preserve"> podle článku 2.2</w:t>
      </w:r>
      <w:r w:rsidR="00B620AC">
        <w:rPr>
          <w:rStyle w:val="Znakapoznpodarou"/>
          <w:rFonts w:asciiTheme="minorHAnsi" w:hAnsiTheme="minorHAnsi"/>
          <w:sz w:val="18"/>
          <w:szCs w:val="18"/>
        </w:rPr>
        <w:footnoteReference w:id="1"/>
      </w:r>
      <w:r w:rsidRPr="00EC20F1">
        <w:rPr>
          <w:rFonts w:asciiTheme="minorHAnsi" w:hAnsiTheme="minorHAnsi"/>
          <w:sz w:val="18"/>
          <w:szCs w:val="18"/>
        </w:rPr>
        <w:t xml:space="preserve"> má odborné znalosti a zkušenosti v oblasti investic k tomu, aby činil vlastní investiční rozhodnutí a vyhodnocoval rizika, která podstupuje v souvislosti s investiční službou nebo obchodem s investičním nástrojem, pro které je zařazen do skupiny profesionálních zákazníků;</w:t>
      </w:r>
    </w:p>
    <w:p w14:paraId="04AB2DB8" w14:textId="77777777" w:rsidR="00B720B1" w:rsidRPr="00EC20F1" w:rsidRDefault="00B720B1" w:rsidP="000C32D8">
      <w:pPr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</w:t>
      </w:r>
      <w:r w:rsidRPr="00B720B1">
        <w:rPr>
          <w:rFonts w:asciiTheme="minorHAnsi" w:hAnsiTheme="minorHAnsi"/>
          <w:sz w:val="18"/>
          <w:szCs w:val="18"/>
        </w:rPr>
        <w:t>ro účely poskytování investičního poradenství</w:t>
      </w:r>
      <w:r>
        <w:rPr>
          <w:rFonts w:asciiTheme="minorHAnsi" w:hAnsiTheme="minorHAnsi"/>
          <w:sz w:val="18"/>
          <w:szCs w:val="18"/>
        </w:rPr>
        <w:t xml:space="preserve"> (bude-li poskytováno)</w:t>
      </w:r>
      <w:r w:rsidRPr="00B720B1">
        <w:rPr>
          <w:rFonts w:asciiTheme="minorHAnsi" w:hAnsiTheme="minorHAnsi"/>
          <w:sz w:val="18"/>
          <w:szCs w:val="18"/>
        </w:rPr>
        <w:t xml:space="preserve"> má </w:t>
      </w:r>
      <w:r>
        <w:rPr>
          <w:rFonts w:asciiTheme="minorHAnsi" w:hAnsiTheme="minorHAnsi"/>
          <w:sz w:val="18"/>
          <w:szCs w:val="18"/>
        </w:rPr>
        <w:t xml:space="preserve">Zprostředkovatel </w:t>
      </w:r>
      <w:r w:rsidRPr="00B720B1">
        <w:rPr>
          <w:rFonts w:asciiTheme="minorHAnsi" w:hAnsiTheme="minorHAnsi"/>
          <w:sz w:val="18"/>
          <w:szCs w:val="18"/>
        </w:rPr>
        <w:t xml:space="preserve">za to, že profesionální zákazník </w:t>
      </w:r>
      <w:r>
        <w:rPr>
          <w:rFonts w:asciiTheme="minorHAnsi" w:hAnsiTheme="minorHAnsi"/>
          <w:sz w:val="18"/>
          <w:szCs w:val="18"/>
        </w:rPr>
        <w:t>podle článku 2.2</w:t>
      </w:r>
      <w:r>
        <w:rPr>
          <w:rStyle w:val="Znakapoznpodarou"/>
          <w:rFonts w:asciiTheme="minorHAnsi" w:hAnsiTheme="minorHAnsi"/>
          <w:sz w:val="18"/>
          <w:szCs w:val="18"/>
        </w:rPr>
        <w:footnoteReference w:id="2"/>
      </w:r>
      <w:r>
        <w:rPr>
          <w:rFonts w:asciiTheme="minorHAnsi" w:hAnsiTheme="minorHAnsi"/>
          <w:sz w:val="18"/>
          <w:szCs w:val="18"/>
        </w:rPr>
        <w:t xml:space="preserve"> </w:t>
      </w:r>
      <w:r w:rsidRPr="00B720B1">
        <w:rPr>
          <w:rFonts w:asciiTheme="minorHAnsi" w:hAnsiTheme="minorHAnsi"/>
          <w:sz w:val="18"/>
          <w:szCs w:val="18"/>
        </w:rPr>
        <w:t>má finanční zázemí k tomu, aby podstupoval související investiční rizika, odpovídající jeho investičním cílům</w:t>
      </w:r>
      <w:r>
        <w:rPr>
          <w:rFonts w:asciiTheme="minorHAnsi" w:hAnsiTheme="minorHAnsi"/>
          <w:sz w:val="18"/>
          <w:szCs w:val="18"/>
        </w:rPr>
        <w:t>.</w:t>
      </w:r>
    </w:p>
    <w:p w14:paraId="3605AB3C" w14:textId="77777777" w:rsidR="00097423" w:rsidRPr="00EC20F1" w:rsidRDefault="00097423" w:rsidP="00097423">
      <w:pPr>
        <w:pStyle w:val="Nadpis2"/>
        <w:spacing w:before="0" w:after="120" w:line="240" w:lineRule="auto"/>
        <w:ind w:left="567"/>
        <w:rPr>
          <w:rFonts w:asciiTheme="minorHAnsi" w:hAnsiTheme="minorHAnsi"/>
          <w:i w:val="0"/>
          <w:sz w:val="18"/>
          <w:szCs w:val="18"/>
        </w:rPr>
      </w:pPr>
    </w:p>
    <w:p w14:paraId="1286E9E7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5" w:name="_Toc499897772"/>
      <w:r w:rsidRPr="00EC20F1">
        <w:rPr>
          <w:rFonts w:asciiTheme="minorHAnsi" w:hAnsiTheme="minorHAnsi"/>
          <w:i w:val="0"/>
          <w:sz w:val="18"/>
          <w:szCs w:val="18"/>
        </w:rPr>
        <w:t>Způsobilá protistrana</w:t>
      </w:r>
      <w:bookmarkEnd w:id="5"/>
    </w:p>
    <w:p w14:paraId="5CC7F2DF" w14:textId="77777777" w:rsidR="000C32D8" w:rsidRPr="00EC20F1" w:rsidRDefault="000C32D8" w:rsidP="00FB6EB7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Způsobilá protistrana je zvláštní kategorií v rámci skupiny profesionálních zákazníků, přičemž je relevantní pouze pro účely poskytování investiční služby Zprostředkovatele přijímání a předávání pokynů týkajících se investičních nástrojů</w:t>
      </w:r>
      <w:r w:rsidR="00897550">
        <w:rPr>
          <w:rFonts w:asciiTheme="minorHAnsi" w:hAnsiTheme="minorHAnsi"/>
          <w:sz w:val="18"/>
          <w:szCs w:val="18"/>
        </w:rPr>
        <w:t xml:space="preserve"> (investiční zprostředkování)</w:t>
      </w:r>
      <w:r w:rsidRPr="00EC20F1">
        <w:rPr>
          <w:rFonts w:asciiTheme="minorHAnsi" w:hAnsiTheme="minorHAnsi"/>
          <w:sz w:val="18"/>
          <w:szCs w:val="18"/>
        </w:rPr>
        <w:t>.</w:t>
      </w:r>
    </w:p>
    <w:p w14:paraId="7DBD3870" w14:textId="77777777" w:rsidR="000C32D8" w:rsidRPr="00EC20F1" w:rsidRDefault="000C32D8" w:rsidP="000C32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Mezi způsobilé protistrany budou zařazeny:</w:t>
      </w:r>
    </w:p>
    <w:p w14:paraId="5F2B2250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banky, </w:t>
      </w:r>
    </w:p>
    <w:p w14:paraId="14D03A32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spořitelní a úvěrní družstva,</w:t>
      </w:r>
    </w:p>
    <w:p w14:paraId="13554F8E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obchodníci s cennými papíry,</w:t>
      </w:r>
    </w:p>
    <w:p w14:paraId="4AD9C7B0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pojišťovny,</w:t>
      </w:r>
    </w:p>
    <w:p w14:paraId="1FCE8142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zajišťovny,</w:t>
      </w:r>
    </w:p>
    <w:p w14:paraId="50417E0B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investiční společnosti,</w:t>
      </w:r>
    </w:p>
    <w:p w14:paraId="7B8D4741" w14:textId="77777777" w:rsidR="000C32D8" w:rsidRPr="00587CA4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587CA4">
        <w:rPr>
          <w:rFonts w:asciiTheme="minorHAnsi" w:hAnsiTheme="minorHAnsi"/>
          <w:sz w:val="18"/>
          <w:szCs w:val="18"/>
        </w:rPr>
        <w:t>investiční fondy,</w:t>
      </w:r>
    </w:p>
    <w:p w14:paraId="75F391F4" w14:textId="77777777" w:rsidR="000C32D8" w:rsidRPr="00587CA4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587CA4">
        <w:rPr>
          <w:rFonts w:asciiTheme="minorHAnsi" w:hAnsiTheme="minorHAnsi"/>
          <w:sz w:val="18"/>
          <w:szCs w:val="18"/>
        </w:rPr>
        <w:t>penzijní společnosti,</w:t>
      </w:r>
    </w:p>
    <w:p w14:paraId="6342EAF3" w14:textId="77777777" w:rsidR="00BE5CFA" w:rsidRPr="00587CA4" w:rsidRDefault="00BE5CFA" w:rsidP="00BE5CFA">
      <w:pPr>
        <w:pStyle w:val="lag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6"/>
          <w:szCs w:val="18"/>
        </w:rPr>
      </w:pPr>
      <w:r w:rsidRPr="00587CA4">
        <w:rPr>
          <w:rFonts w:asciiTheme="minorHAnsi" w:hAnsiTheme="minorHAnsi" w:cs="Arial"/>
          <w:sz w:val="18"/>
          <w:szCs w:val="20"/>
        </w:rPr>
        <w:t xml:space="preserve">jiné osoby, které podnikají na finančním trhu na základě oprávnění uděleného orgánem dohledu nad finančním trhem, s výjimkou 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1.</w:t>
      </w:r>
      <w:r w:rsidRPr="00587CA4">
        <w:rPr>
          <w:rFonts w:asciiTheme="minorHAnsi" w:hAnsiTheme="minorHAnsi" w:cs="Arial"/>
          <w:sz w:val="18"/>
          <w:szCs w:val="20"/>
        </w:rPr>
        <w:t> vázaného zástupce podle ZPKT, 2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.</w:t>
      </w:r>
      <w:r w:rsidRPr="00587CA4">
        <w:rPr>
          <w:rFonts w:asciiTheme="minorHAnsi" w:hAnsiTheme="minorHAnsi" w:cs="Arial"/>
          <w:sz w:val="18"/>
          <w:szCs w:val="20"/>
        </w:rPr>
        <w:t> vázaného zástupce a zprostředkovatele vázaného spotřebitelského úvěru podle zákona upravujícího spotřebitelský úvěr, 3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.</w:t>
      </w:r>
      <w:r w:rsidRPr="00587CA4">
        <w:rPr>
          <w:rFonts w:asciiTheme="minorHAnsi" w:hAnsiTheme="minorHAnsi" w:cs="Arial"/>
          <w:sz w:val="18"/>
          <w:szCs w:val="20"/>
        </w:rPr>
        <w:t xml:space="preserve"> vázaného zástupce podle zákona upravujícího doplňkové penzijní spoření a </w:t>
      </w:r>
      <w:r w:rsidRPr="00587CA4">
        <w:rPr>
          <w:rStyle w:val="PromnnHTML"/>
          <w:rFonts w:asciiTheme="minorHAnsi" w:eastAsiaTheme="majorEastAsia" w:hAnsiTheme="minorHAnsi" w:cs="Arial"/>
          <w:bCs/>
          <w:i w:val="0"/>
          <w:iCs w:val="0"/>
          <w:sz w:val="18"/>
          <w:szCs w:val="20"/>
        </w:rPr>
        <w:t>4.</w:t>
      </w:r>
      <w:r w:rsidRPr="00587CA4">
        <w:rPr>
          <w:rFonts w:asciiTheme="minorHAnsi" w:hAnsiTheme="minorHAnsi" w:cs="Arial"/>
          <w:sz w:val="18"/>
          <w:szCs w:val="20"/>
        </w:rPr>
        <w:t> vázaného zástupce a doplňkového pojišťovacího zprostředkovatele podle zákona upravujícího distribuci pojištění a zajištění,</w:t>
      </w:r>
    </w:p>
    <w:p w14:paraId="748D9C93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osoby, které jako svou rozhodující činnost provádějí </w:t>
      </w:r>
      <w:proofErr w:type="spellStart"/>
      <w:r w:rsidRPr="00EC20F1">
        <w:rPr>
          <w:rFonts w:asciiTheme="minorHAnsi" w:hAnsiTheme="minorHAnsi"/>
          <w:sz w:val="18"/>
          <w:szCs w:val="18"/>
        </w:rPr>
        <w:t>sekuritizaci</w:t>
      </w:r>
      <w:proofErr w:type="spellEnd"/>
      <w:r w:rsidRPr="00EC20F1">
        <w:rPr>
          <w:rFonts w:asciiTheme="minorHAnsi" w:hAnsiTheme="minorHAnsi"/>
          <w:sz w:val="18"/>
          <w:szCs w:val="18"/>
        </w:rPr>
        <w:t>,</w:t>
      </w:r>
    </w:p>
    <w:p w14:paraId="77BCB22E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osoby, které obchodují na vlastní účet s investičními nástroji za účelem snížení rizika (</w:t>
      </w:r>
      <w:proofErr w:type="spellStart"/>
      <w:r w:rsidRPr="00EC20F1">
        <w:rPr>
          <w:rFonts w:asciiTheme="minorHAnsi" w:hAnsiTheme="minorHAnsi"/>
          <w:sz w:val="18"/>
          <w:szCs w:val="18"/>
        </w:rPr>
        <w:t>hedging</w:t>
      </w:r>
      <w:proofErr w:type="spellEnd"/>
      <w:r w:rsidRPr="00EC20F1">
        <w:rPr>
          <w:rFonts w:asciiTheme="minorHAnsi" w:hAnsiTheme="minorHAnsi"/>
          <w:sz w:val="18"/>
          <w:szCs w:val="18"/>
        </w:rPr>
        <w:t>) z obchodů s investičními nástroji uvedenými v § 3 odst. 1 písm. d) až k) ZPKT (deriváty) a tato činnost patří mezi jejich rozhodující činnosti,</w:t>
      </w:r>
    </w:p>
    <w:p w14:paraId="1D0C7571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osoby, které obchodují na vlastní účet s investičními nástroji uvedenými v § 3 odst. 1 písm. g) až i) ZPKT (komoditní deriváty) nebo komoditami a tato činnost patří mezi jejich rozhodující činnosti,</w:t>
      </w:r>
    </w:p>
    <w:p w14:paraId="020224BB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právnické osoby, které jsou příslušné hospodařit s majetkem státu při zajišťování nákupu, prodeje nebo správy jeho pohledávek nebo jiných aktiv, anebo při restrukturalizaci obchodních společností nebo jiných právnických osob s majetkovou účastí státu,</w:t>
      </w:r>
    </w:p>
    <w:p w14:paraId="2747C1A6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zahraniční osoby s obdobnou činností jako některá z osob uvedených v předchozích odrážkách,</w:t>
      </w:r>
    </w:p>
    <w:p w14:paraId="06DCBB20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státy nebo členské státy federace,</w:t>
      </w:r>
    </w:p>
    <w:p w14:paraId="5D037F7C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Česká národní banka, zahraniční centrální banka nebo Evropská centrální banka,</w:t>
      </w:r>
    </w:p>
    <w:p w14:paraId="6A3E8F1C" w14:textId="77777777" w:rsidR="000C32D8" w:rsidRPr="00EC20F1" w:rsidRDefault="000C32D8" w:rsidP="000C32D8">
      <w:pPr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Světová banka, Mezinárodní měnový fond, Evropská investiční banka nebo jiná mezinárodní finanční instituce,</w:t>
      </w:r>
    </w:p>
    <w:p w14:paraId="7D0527EB" w14:textId="20952F28" w:rsidR="00265CDD" w:rsidRPr="00265CDD" w:rsidRDefault="00265CDD" w:rsidP="00265C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Theme="minorHAnsi" w:hAnsiTheme="minorHAnsi"/>
          <w:szCs w:val="18"/>
        </w:rPr>
      </w:pPr>
      <w:r w:rsidRPr="00265CDD">
        <w:rPr>
          <w:rFonts w:asciiTheme="minorHAnsi" w:eastAsiaTheme="minorHAnsi" w:hAnsiTheme="minorHAnsi" w:cs="Arial"/>
          <w:szCs w:val="18"/>
        </w:rPr>
        <w:lastRenderedPageBreak/>
        <w:t xml:space="preserve">pokud s tím výslovně souhlasí, i fyzická osoba s bydlištěm nebo právnická osoba se sídlem v jiném členském státě Evropské unie, ve </w:t>
      </w:r>
      <w:proofErr w:type="gramStart"/>
      <w:r w:rsidRPr="00265CDD">
        <w:rPr>
          <w:rFonts w:asciiTheme="minorHAnsi" w:eastAsiaTheme="minorHAnsi" w:hAnsiTheme="minorHAnsi" w:cs="Arial"/>
          <w:szCs w:val="18"/>
        </w:rPr>
        <w:t>vztahu</w:t>
      </w:r>
      <w:proofErr w:type="gramEnd"/>
      <w:r w:rsidRPr="00265CDD">
        <w:rPr>
          <w:rFonts w:asciiTheme="minorHAnsi" w:eastAsiaTheme="minorHAnsi" w:hAnsiTheme="minorHAnsi" w:cs="Arial"/>
          <w:szCs w:val="18"/>
        </w:rPr>
        <w:t xml:space="preserve"> ke které podle právního řádu tohoto členského státu není zahraniční osoba, která má povolení tohoto členského státu k poskytování investičních služeb, povinna bez její žádosti při poskytování hlavních investičních služeb uvedených plnit povinnosti obdobné povinnostem stanoveným v § 15 až </w:t>
      </w:r>
      <w:r w:rsidRPr="00587CA4">
        <w:rPr>
          <w:rFonts w:asciiTheme="minorHAnsi" w:eastAsiaTheme="minorHAnsi" w:hAnsiTheme="minorHAnsi" w:cs="Arial"/>
          <w:szCs w:val="18"/>
        </w:rPr>
        <w:t>15r</w:t>
      </w:r>
      <w:r w:rsidR="00BE5CFA" w:rsidRPr="00587CA4">
        <w:rPr>
          <w:rFonts w:asciiTheme="minorHAnsi" w:eastAsiaTheme="minorHAnsi" w:hAnsiTheme="minorHAnsi" w:cs="Arial"/>
          <w:szCs w:val="18"/>
        </w:rPr>
        <w:t xml:space="preserve"> ZPKT</w:t>
      </w:r>
      <w:r w:rsidRPr="00587CA4">
        <w:rPr>
          <w:rFonts w:asciiTheme="minorHAnsi" w:eastAsiaTheme="minorHAnsi" w:hAnsiTheme="minorHAnsi" w:cs="Arial"/>
          <w:szCs w:val="18"/>
        </w:rPr>
        <w:t>. Ze souhlasu</w:t>
      </w:r>
      <w:r w:rsidRPr="00265CDD">
        <w:rPr>
          <w:rFonts w:asciiTheme="minorHAnsi" w:eastAsiaTheme="minorHAnsi" w:hAnsiTheme="minorHAnsi" w:cs="Arial"/>
          <w:szCs w:val="18"/>
        </w:rPr>
        <w:t xml:space="preserve"> musí být zřejmé, jakého obchodu nebo obchodů s investičním nástrojem nebo jaké investiční služby se týká.</w:t>
      </w:r>
    </w:p>
    <w:p w14:paraId="49D96126" w14:textId="77777777" w:rsidR="000C32D8" w:rsidRPr="00265CDD" w:rsidRDefault="000C32D8" w:rsidP="000C32D8">
      <w:pPr>
        <w:numPr>
          <w:ilvl w:val="0"/>
          <w:numId w:val="9"/>
        </w:numPr>
        <w:spacing w:after="60" w:line="240" w:lineRule="auto"/>
        <w:ind w:left="1134" w:hanging="283"/>
        <w:jc w:val="both"/>
        <w:rPr>
          <w:rFonts w:asciiTheme="minorHAnsi" w:hAnsiTheme="minorHAnsi"/>
          <w:sz w:val="18"/>
          <w:szCs w:val="18"/>
        </w:rPr>
      </w:pPr>
      <w:r w:rsidRPr="00265CDD">
        <w:rPr>
          <w:rFonts w:asciiTheme="minorHAnsi" w:hAnsiTheme="minorHAnsi"/>
          <w:sz w:val="18"/>
          <w:szCs w:val="18"/>
        </w:rPr>
        <w:t>osoby, které byly do skupiny způsobilých protistran zařazeny na základě žádosti podle článku 3.3.</w:t>
      </w:r>
    </w:p>
    <w:p w14:paraId="3370D588" w14:textId="77777777" w:rsidR="000C32D8" w:rsidRPr="00EC20F1" w:rsidRDefault="000C32D8" w:rsidP="000C32D8">
      <w:pPr>
        <w:spacing w:after="60" w:line="240" w:lineRule="auto"/>
        <w:ind w:left="1134"/>
        <w:jc w:val="both"/>
        <w:rPr>
          <w:rFonts w:asciiTheme="minorHAnsi" w:hAnsiTheme="minorHAnsi"/>
          <w:sz w:val="18"/>
          <w:szCs w:val="18"/>
        </w:rPr>
      </w:pPr>
    </w:p>
    <w:p w14:paraId="0ABC9D5F" w14:textId="77777777" w:rsidR="000C32D8" w:rsidRPr="00960B0F" w:rsidRDefault="000C32D8" w:rsidP="000C32D8">
      <w:pPr>
        <w:numPr>
          <w:ilvl w:val="0"/>
          <w:numId w:val="8"/>
        </w:numPr>
        <w:spacing w:after="12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960B0F">
        <w:rPr>
          <w:rFonts w:asciiTheme="minorHAnsi" w:hAnsiTheme="minorHAnsi"/>
          <w:sz w:val="18"/>
          <w:szCs w:val="18"/>
        </w:rPr>
        <w:t xml:space="preserve">Způsobilým protistranám poskytuje Zprostředkovatel nejnižší stupeň ochrany. Zprostředkovatel není povinen plnit ve vztahu ke způsobilým protistranám povinnosti při jednání se zákazníkem stanovené v § 15 až </w:t>
      </w:r>
      <w:proofErr w:type="gramStart"/>
      <w:r w:rsidRPr="00960B0F">
        <w:rPr>
          <w:rFonts w:asciiTheme="minorHAnsi" w:hAnsiTheme="minorHAnsi"/>
          <w:sz w:val="18"/>
          <w:szCs w:val="18"/>
        </w:rPr>
        <w:t>15r</w:t>
      </w:r>
      <w:proofErr w:type="gramEnd"/>
      <w:r w:rsidRPr="00960B0F">
        <w:rPr>
          <w:rFonts w:asciiTheme="minorHAnsi" w:hAnsiTheme="minorHAnsi"/>
          <w:sz w:val="18"/>
          <w:szCs w:val="18"/>
        </w:rPr>
        <w:t xml:space="preserve"> ZPKT. Zprostředkovatel tak není povinen plnit vůči způsobilým protistranám povinnosti týkající se např. komunikace se zákazníkem, informování zákazníka, vyžadování informací od zákazníka, zpracování pokynů, informování o pokynech a stavu majetku zákazníka.</w:t>
      </w:r>
    </w:p>
    <w:p w14:paraId="00EE0C9F" w14:textId="77777777" w:rsidR="00560B70" w:rsidRPr="00EC20F1" w:rsidRDefault="00560B70" w:rsidP="000C32D8">
      <w:pPr>
        <w:numPr>
          <w:ilvl w:val="0"/>
          <w:numId w:val="8"/>
        </w:numPr>
        <w:spacing w:after="12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Zprostředkovatel je ve vztahu k</w:t>
      </w:r>
      <w:r w:rsidR="003C3CB6">
        <w:rPr>
          <w:rFonts w:asciiTheme="minorHAnsi" w:hAnsiTheme="minorHAnsi"/>
          <w:sz w:val="18"/>
          <w:szCs w:val="18"/>
        </w:rPr>
        <w:t>e</w:t>
      </w:r>
      <w:r>
        <w:rPr>
          <w:rFonts w:asciiTheme="minorHAnsi" w:hAnsiTheme="minorHAnsi"/>
          <w:sz w:val="18"/>
          <w:szCs w:val="18"/>
        </w:rPr>
        <w:t xml:space="preserve"> způsobilé protistraně, vůči které neplní </w:t>
      </w:r>
      <w:r w:rsidRPr="00EC20F1">
        <w:rPr>
          <w:rFonts w:asciiTheme="minorHAnsi" w:hAnsiTheme="minorHAnsi"/>
          <w:sz w:val="18"/>
          <w:szCs w:val="18"/>
        </w:rPr>
        <w:t xml:space="preserve">povinnosti při jednání se zákazníkem stanovené v § 15 až </w:t>
      </w:r>
      <w:proofErr w:type="gramStart"/>
      <w:r w:rsidRPr="00EC20F1">
        <w:rPr>
          <w:rFonts w:asciiTheme="minorHAnsi" w:hAnsiTheme="minorHAnsi"/>
          <w:sz w:val="18"/>
          <w:szCs w:val="18"/>
        </w:rPr>
        <w:t>15r</w:t>
      </w:r>
      <w:proofErr w:type="gramEnd"/>
      <w:r w:rsidRPr="00EC20F1">
        <w:rPr>
          <w:rFonts w:asciiTheme="minorHAnsi" w:hAnsiTheme="minorHAnsi"/>
          <w:sz w:val="18"/>
          <w:szCs w:val="18"/>
        </w:rPr>
        <w:t xml:space="preserve"> ZPKT</w:t>
      </w:r>
      <w:r>
        <w:rPr>
          <w:rFonts w:asciiTheme="minorHAnsi" w:hAnsiTheme="minorHAnsi"/>
          <w:sz w:val="18"/>
          <w:szCs w:val="18"/>
        </w:rPr>
        <w:t>,</w:t>
      </w:r>
      <w:r w:rsidRPr="00560B70">
        <w:rPr>
          <w:rFonts w:asciiTheme="minorHAnsi" w:hAnsiTheme="minorHAnsi"/>
          <w:sz w:val="18"/>
          <w:szCs w:val="18"/>
        </w:rPr>
        <w:t xml:space="preserve"> povinen jednat kvalifikovaně, čestně a spravedlivě a nesmí používat při komunikaci s </w:t>
      </w:r>
      <w:r>
        <w:rPr>
          <w:rFonts w:asciiTheme="minorHAnsi" w:hAnsiTheme="minorHAnsi"/>
          <w:sz w:val="18"/>
          <w:szCs w:val="18"/>
        </w:rPr>
        <w:t>ní</w:t>
      </w:r>
      <w:r w:rsidRPr="00560B70">
        <w:rPr>
          <w:rFonts w:asciiTheme="minorHAnsi" w:hAnsiTheme="minorHAnsi"/>
          <w:sz w:val="18"/>
          <w:szCs w:val="18"/>
        </w:rPr>
        <w:t xml:space="preserve"> nejasné, nepravdivé, zavádějící nebo klamavé informace</w:t>
      </w:r>
      <w:r>
        <w:rPr>
          <w:rFonts w:asciiTheme="minorHAnsi" w:hAnsiTheme="minorHAnsi"/>
          <w:sz w:val="18"/>
          <w:szCs w:val="18"/>
        </w:rPr>
        <w:t>.</w:t>
      </w:r>
    </w:p>
    <w:p w14:paraId="4766F1B3" w14:textId="77777777" w:rsidR="000C32D8" w:rsidRPr="00EC20F1" w:rsidRDefault="000C32D8" w:rsidP="000C32D8">
      <w:pPr>
        <w:pStyle w:val="Nadpis1"/>
        <w:numPr>
          <w:ilvl w:val="0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sz w:val="18"/>
          <w:szCs w:val="18"/>
        </w:rPr>
      </w:pPr>
      <w:bookmarkStart w:id="6" w:name="_Toc499897773"/>
      <w:r w:rsidRPr="00EC20F1">
        <w:rPr>
          <w:rFonts w:asciiTheme="minorHAnsi" w:hAnsiTheme="minorHAnsi"/>
          <w:sz w:val="18"/>
          <w:szCs w:val="18"/>
        </w:rPr>
        <w:t>Přestupy mezi kategoriemi zákazníků</w:t>
      </w:r>
      <w:bookmarkEnd w:id="6"/>
    </w:p>
    <w:p w14:paraId="535333DF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7" w:name="_Toc499897774"/>
      <w:r w:rsidRPr="00EC20F1">
        <w:rPr>
          <w:rFonts w:asciiTheme="minorHAnsi" w:hAnsiTheme="minorHAnsi"/>
          <w:i w:val="0"/>
          <w:sz w:val="18"/>
          <w:szCs w:val="18"/>
        </w:rPr>
        <w:t>Přestup z kategorie neprofesionálních zákazníků do kategorie profesionálních zákazníků</w:t>
      </w:r>
      <w:bookmarkEnd w:id="7"/>
    </w:p>
    <w:p w14:paraId="39F9E122" w14:textId="77777777" w:rsidR="000C32D8" w:rsidRPr="00EC20F1" w:rsidRDefault="000C32D8" w:rsidP="00FB6EB7">
      <w:pPr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Zprostředkovatel zařadí neprofesionálního zákazníka do skupiny zákazníků profesionálních, pokud jsou splněny všechny čtyři následující podmínky:</w:t>
      </w:r>
    </w:p>
    <w:p w14:paraId="423E9724" w14:textId="77777777" w:rsidR="000C32D8" w:rsidRPr="00EC20F1" w:rsidRDefault="000C32D8" w:rsidP="000C32D8">
      <w:pPr>
        <w:numPr>
          <w:ilvl w:val="0"/>
          <w:numId w:val="10"/>
        </w:numPr>
        <w:spacing w:after="6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zákazník podá Zprostředkovateli písemnou žádost, ze které bude patrné jeho přání o přeřazení do kategorie profesionálních zákazníků a ze které bude zřejmé, jakého obchodu nebo obchodů s investičním nástrojem nebo jaké investiční služby se přeřazení týká;</w:t>
      </w:r>
    </w:p>
    <w:p w14:paraId="763905FC" w14:textId="77777777" w:rsidR="000C32D8" w:rsidRPr="00EC20F1" w:rsidRDefault="000C32D8" w:rsidP="000C32D8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přílohou této žádosti bude prohlášení žadatele o tom, že si je vědom, že:</w:t>
      </w:r>
    </w:p>
    <w:p w14:paraId="04A78073" w14:textId="77777777" w:rsidR="000C32D8" w:rsidRPr="00EC20F1" w:rsidRDefault="000C32D8" w:rsidP="000C32D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18"/>
        </w:rPr>
      </w:pPr>
      <w:r w:rsidRPr="00EC20F1">
        <w:rPr>
          <w:rFonts w:asciiTheme="minorHAnsi" w:hAnsiTheme="minorHAnsi"/>
          <w:szCs w:val="18"/>
        </w:rPr>
        <w:t>tato změna může znamenat ztrátu nároku na náhradu ze zahraničního garančního systému s účelem obdobným systému zabezpečovanému Garančním fondem obchodníků s cennými papíry,</w:t>
      </w:r>
    </w:p>
    <w:p w14:paraId="28F75E79" w14:textId="77777777" w:rsidR="000C32D8" w:rsidRPr="00EC20F1" w:rsidRDefault="000C32D8" w:rsidP="000C32D8">
      <w:pPr>
        <w:pStyle w:val="Odstavecseseznamem"/>
        <w:numPr>
          <w:ilvl w:val="0"/>
          <w:numId w:val="15"/>
        </w:numPr>
        <w:spacing w:after="60" w:line="240" w:lineRule="auto"/>
        <w:jc w:val="both"/>
        <w:rPr>
          <w:rFonts w:asciiTheme="minorHAnsi" w:hAnsiTheme="minorHAnsi"/>
          <w:szCs w:val="18"/>
        </w:rPr>
      </w:pPr>
      <w:r w:rsidRPr="00EC20F1">
        <w:rPr>
          <w:rFonts w:asciiTheme="minorHAnsi" w:hAnsiTheme="minorHAnsi"/>
          <w:szCs w:val="18"/>
        </w:rPr>
        <w:t xml:space="preserve">povinnosti stanovené v § 15 až </w:t>
      </w:r>
      <w:proofErr w:type="gramStart"/>
      <w:r w:rsidRPr="00EC20F1">
        <w:rPr>
          <w:rFonts w:asciiTheme="minorHAnsi" w:hAnsiTheme="minorHAnsi"/>
          <w:szCs w:val="18"/>
        </w:rPr>
        <w:t>15r</w:t>
      </w:r>
      <w:proofErr w:type="gramEnd"/>
      <w:r w:rsidRPr="00EC20F1">
        <w:rPr>
          <w:rFonts w:asciiTheme="minorHAnsi" w:hAnsiTheme="minorHAnsi"/>
          <w:szCs w:val="18"/>
        </w:rPr>
        <w:t xml:space="preserve"> ZPKT ve vztahu k profesionálnímu zákazníkovi plní Zprostředkovatel v užším rozsahu než ve vztahu k neprofesionálnímu zákazníkovi</w:t>
      </w:r>
      <w:r w:rsidRPr="00EC20F1">
        <w:rPr>
          <w:rStyle w:val="Znakapoznpodarou"/>
          <w:rFonts w:asciiTheme="minorHAnsi" w:hAnsiTheme="minorHAnsi"/>
          <w:szCs w:val="18"/>
        </w:rPr>
        <w:footnoteReference w:id="3"/>
      </w:r>
      <w:r w:rsidRPr="00EC20F1">
        <w:rPr>
          <w:rFonts w:asciiTheme="minorHAnsi" w:hAnsiTheme="minorHAnsi"/>
          <w:szCs w:val="18"/>
        </w:rPr>
        <w:t>.</w:t>
      </w:r>
    </w:p>
    <w:p w14:paraId="34EFFF41" w14:textId="79D96A8C" w:rsidR="000C32D8" w:rsidRPr="00EC20F1" w:rsidRDefault="000C32D8" w:rsidP="000C32D8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Zprostředkovatel se ujistí, že tento žadatel splňuje alespoň dvě z následujících tří kritérií:</w:t>
      </w:r>
    </w:p>
    <w:p w14:paraId="76203C66" w14:textId="77777777" w:rsidR="000C32D8" w:rsidRPr="00EC20F1" w:rsidRDefault="000C32D8" w:rsidP="000C32D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18"/>
        </w:rPr>
      </w:pPr>
      <w:r w:rsidRPr="00EC20F1">
        <w:rPr>
          <w:rFonts w:asciiTheme="minorHAnsi" w:hAnsiTheme="minorHAnsi"/>
          <w:szCs w:val="18"/>
        </w:rPr>
        <w:t xml:space="preserve">žadatel provedl za každé z posledních 4 po sobě jdoucích čtvrtletí </w:t>
      </w:r>
      <w:r w:rsidR="005510AE" w:rsidRPr="005510AE">
        <w:rPr>
          <w:rFonts w:asciiTheme="minorHAnsi" w:hAnsiTheme="minorHAnsi"/>
          <w:szCs w:val="18"/>
        </w:rPr>
        <w:t xml:space="preserve">v příslušné oblasti finančního trhu </w:t>
      </w:r>
      <w:r w:rsidRPr="00EC20F1">
        <w:rPr>
          <w:rFonts w:asciiTheme="minorHAnsi" w:hAnsiTheme="minorHAnsi"/>
          <w:szCs w:val="18"/>
        </w:rPr>
        <w:t>obchody s investičním nástrojem, jehož se žádost týká, ve významném objemu a v průměrném počtu alespoň 10 obchodů za čtvrtletí,</w:t>
      </w:r>
    </w:p>
    <w:p w14:paraId="4DBA0273" w14:textId="77777777" w:rsidR="000C32D8" w:rsidRPr="00EC20F1" w:rsidRDefault="000C32D8" w:rsidP="000C32D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Cs w:val="18"/>
        </w:rPr>
      </w:pPr>
      <w:r w:rsidRPr="00EC20F1">
        <w:rPr>
          <w:rFonts w:asciiTheme="minorHAnsi" w:hAnsiTheme="minorHAnsi"/>
          <w:szCs w:val="18"/>
        </w:rPr>
        <w:t>objem majetku žadatele tvořeného peněžními prostředky a investičními nástroji odpovídá částce alespoň 500 000 EUR,</w:t>
      </w:r>
    </w:p>
    <w:p w14:paraId="73FCD71B" w14:textId="77777777" w:rsidR="000C32D8" w:rsidRPr="00EC20F1" w:rsidRDefault="000C32D8" w:rsidP="000C32D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Cs w:val="18"/>
        </w:rPr>
      </w:pPr>
      <w:r w:rsidRPr="00EC20F1">
        <w:rPr>
          <w:rFonts w:asciiTheme="minorHAnsi" w:hAnsiTheme="minorHAnsi"/>
          <w:szCs w:val="18"/>
        </w:rPr>
        <w:t>žadatel vykonával po dobu nejméně jednoho roku nebo vykonává v souvislosti s výkonem svého zaměstnání, povolání nebo funkce činnost v oblasti finančního trhu, která vyžaduje znalost obchodů nebo služeb, jichž se žádost týká.</w:t>
      </w:r>
    </w:p>
    <w:p w14:paraId="45D52523" w14:textId="77777777" w:rsidR="000C32D8" w:rsidRPr="00EC20F1" w:rsidRDefault="000C32D8" w:rsidP="000C3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Zprostředkovatel se ujistí, že má žadatel ohledně obchodu nebo obchodů s investičním nástrojem nebo investiční služby, jichž se žádost týká, potřebné zkušenosti a odborné znalosti, je schopen činit vlastní investiční rozhodnutí a chápe související rizika</w:t>
      </w:r>
      <w:r w:rsidRPr="00EC20F1">
        <w:rPr>
          <w:rStyle w:val="Znakapoznpodarou"/>
          <w:rFonts w:asciiTheme="minorHAnsi" w:hAnsiTheme="minorHAnsi"/>
          <w:sz w:val="18"/>
          <w:szCs w:val="18"/>
        </w:rPr>
        <w:footnoteReference w:id="4"/>
      </w:r>
      <w:r w:rsidRPr="00EC20F1">
        <w:rPr>
          <w:rFonts w:asciiTheme="minorHAnsi" w:hAnsiTheme="minorHAnsi"/>
          <w:sz w:val="18"/>
          <w:szCs w:val="18"/>
        </w:rPr>
        <w:t>.</w:t>
      </w:r>
    </w:p>
    <w:p w14:paraId="1CFE9326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8" w:name="_Toc499897775"/>
      <w:r w:rsidRPr="00EC20F1">
        <w:rPr>
          <w:rFonts w:asciiTheme="minorHAnsi" w:hAnsiTheme="minorHAnsi"/>
          <w:i w:val="0"/>
          <w:sz w:val="18"/>
          <w:szCs w:val="18"/>
        </w:rPr>
        <w:t>Přestup z kategorie profesionálních zákazníků do kategorie neprofesionálních zákazníků</w:t>
      </w:r>
      <w:bookmarkEnd w:id="8"/>
    </w:p>
    <w:p w14:paraId="6D5FCDB4" w14:textId="77777777" w:rsidR="000C32D8" w:rsidRPr="00EC20F1" w:rsidRDefault="000C32D8" w:rsidP="000C32D8">
      <w:pPr>
        <w:numPr>
          <w:ilvl w:val="0"/>
          <w:numId w:val="11"/>
        </w:numPr>
        <w:spacing w:after="6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Na základě dohody zařadí Zprostředkovatel profesionálního zákazníka do skupiny zákazníků neprofesionálních, a to v rozsahu obchodů s investičním nástrojem nebo investičních služeb, na kterém se se Zprostředkovatelem dohodnou. V případě, že tato dohoda nebyla uzavřena v písemné formě, je Zprostředkovatel povinen tomuto zákazníkovi vydat na jeho žádost potvrzení o jeho zařazení do kategorie neprofesionálních zákazníků</w:t>
      </w:r>
      <w:r w:rsidR="009C2C14">
        <w:rPr>
          <w:rFonts w:asciiTheme="minorHAnsi" w:hAnsiTheme="minorHAnsi"/>
          <w:sz w:val="18"/>
          <w:szCs w:val="18"/>
        </w:rPr>
        <w:t xml:space="preserve"> s uvedením jakého </w:t>
      </w:r>
      <w:r w:rsidR="009C2C14" w:rsidRPr="00EC20F1">
        <w:rPr>
          <w:rFonts w:asciiTheme="minorHAnsi" w:hAnsiTheme="minorHAnsi"/>
          <w:sz w:val="18"/>
          <w:szCs w:val="18"/>
        </w:rPr>
        <w:t xml:space="preserve">obchodu nebo obchodů s investičním nástrojem nebo jaké investiční služby se </w:t>
      </w:r>
      <w:r w:rsidR="009C2C14">
        <w:rPr>
          <w:rFonts w:asciiTheme="minorHAnsi" w:hAnsiTheme="minorHAnsi"/>
          <w:sz w:val="18"/>
          <w:szCs w:val="18"/>
        </w:rPr>
        <w:t xml:space="preserve">zařazení </w:t>
      </w:r>
      <w:r w:rsidR="009C2C14" w:rsidRPr="00EC20F1">
        <w:rPr>
          <w:rFonts w:asciiTheme="minorHAnsi" w:hAnsiTheme="minorHAnsi"/>
          <w:sz w:val="18"/>
          <w:szCs w:val="18"/>
        </w:rPr>
        <w:t>týká</w:t>
      </w:r>
      <w:r w:rsidRPr="00EC20F1">
        <w:rPr>
          <w:rFonts w:asciiTheme="minorHAnsi" w:hAnsiTheme="minorHAnsi"/>
          <w:sz w:val="18"/>
          <w:szCs w:val="18"/>
        </w:rPr>
        <w:t>.</w:t>
      </w:r>
    </w:p>
    <w:p w14:paraId="0F635560" w14:textId="77777777" w:rsidR="000C32D8" w:rsidRPr="00EC20F1" w:rsidRDefault="000C32D8" w:rsidP="000C32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Profesionální zákazník, který byl do kategorie profesionálních zákazníků přeřazen na základě žádosti podle článku 3.1, může požádat Zprostředkovatele o zařazení do skupiny zákazníků neprofesionálních. Ze žádosti musí být zřejmé, jakého obchodu nebo obchodů s investičním nástrojem nebo jaké investiční služby se taková žádost týká. Této žádosti je Zprostředkovatel povinen vyhovět.</w:t>
      </w:r>
    </w:p>
    <w:p w14:paraId="70CEF566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9" w:name="_Toc499897776"/>
      <w:r w:rsidRPr="00EC20F1">
        <w:rPr>
          <w:rFonts w:asciiTheme="minorHAnsi" w:hAnsiTheme="minorHAnsi"/>
          <w:i w:val="0"/>
          <w:sz w:val="18"/>
          <w:szCs w:val="18"/>
        </w:rPr>
        <w:t>Přestup z kategorie profesionálních zákazníků do kategorie způsobilých protistran</w:t>
      </w:r>
      <w:bookmarkEnd w:id="9"/>
    </w:p>
    <w:p w14:paraId="4EA94CBB" w14:textId="77777777" w:rsidR="000C32D8" w:rsidRDefault="000C32D8" w:rsidP="000C32D8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Zprostředkovatel zařadí profesionálního zákazníka do kategorie způsobilých protistran, pokud o to takový profesionální zákazník písemně požádá. Ze žádosti musí být zřejmé, jakého obchodu nebo obchodů s investičním nástrojem nebo jaké investiční služby se taková žádost týká</w:t>
      </w:r>
      <w:r w:rsidR="00CE1EB0">
        <w:rPr>
          <w:rFonts w:asciiTheme="minorHAnsi" w:hAnsiTheme="minorHAnsi"/>
          <w:sz w:val="18"/>
          <w:szCs w:val="18"/>
        </w:rPr>
        <w:t>.</w:t>
      </w:r>
      <w:r w:rsidR="00A64129">
        <w:rPr>
          <w:rFonts w:asciiTheme="minorHAnsi" w:hAnsiTheme="minorHAnsi"/>
          <w:sz w:val="18"/>
          <w:szCs w:val="18"/>
        </w:rPr>
        <w:t xml:space="preserve"> </w:t>
      </w:r>
    </w:p>
    <w:p w14:paraId="4FF17361" w14:textId="77777777" w:rsidR="00CE1EB0" w:rsidRDefault="00CE1EB0" w:rsidP="000C32D8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Zprostředkovatel </w:t>
      </w:r>
      <w:r>
        <w:rPr>
          <w:rFonts w:asciiTheme="minorHAnsi" w:hAnsiTheme="minorHAnsi"/>
          <w:sz w:val="18"/>
          <w:szCs w:val="18"/>
        </w:rPr>
        <w:t>t</w:t>
      </w:r>
      <w:r w:rsidRPr="00EC20F1">
        <w:rPr>
          <w:rFonts w:asciiTheme="minorHAnsi" w:hAnsiTheme="minorHAnsi"/>
          <w:sz w:val="18"/>
          <w:szCs w:val="18"/>
        </w:rPr>
        <w:t>omuto zákazníkovi vyd</w:t>
      </w:r>
      <w:r>
        <w:rPr>
          <w:rFonts w:asciiTheme="minorHAnsi" w:hAnsiTheme="minorHAnsi"/>
          <w:sz w:val="18"/>
          <w:szCs w:val="18"/>
        </w:rPr>
        <w:t>á</w:t>
      </w:r>
      <w:r w:rsidRPr="00EC20F1">
        <w:rPr>
          <w:rFonts w:asciiTheme="minorHAnsi" w:hAnsiTheme="minorHAnsi"/>
          <w:sz w:val="18"/>
          <w:szCs w:val="18"/>
        </w:rPr>
        <w:t xml:space="preserve"> na jeho žádost potvrzení o jeho zařazení do kategorie </w:t>
      </w:r>
      <w:r>
        <w:rPr>
          <w:rFonts w:asciiTheme="minorHAnsi" w:hAnsiTheme="minorHAnsi"/>
          <w:sz w:val="18"/>
          <w:szCs w:val="18"/>
        </w:rPr>
        <w:t>způsobilých protistran s </w:t>
      </w:r>
      <w:proofErr w:type="gramStart"/>
      <w:r>
        <w:rPr>
          <w:rFonts w:asciiTheme="minorHAnsi" w:hAnsiTheme="minorHAnsi"/>
          <w:sz w:val="18"/>
          <w:szCs w:val="18"/>
        </w:rPr>
        <w:t>uvedením</w:t>
      </w:r>
      <w:proofErr w:type="gramEnd"/>
      <w:r>
        <w:rPr>
          <w:rFonts w:asciiTheme="minorHAnsi" w:hAnsiTheme="minorHAnsi"/>
          <w:sz w:val="18"/>
          <w:szCs w:val="18"/>
        </w:rPr>
        <w:t xml:space="preserve"> jakého </w:t>
      </w:r>
      <w:r w:rsidRPr="00EC20F1">
        <w:rPr>
          <w:rFonts w:asciiTheme="minorHAnsi" w:hAnsiTheme="minorHAnsi"/>
          <w:sz w:val="18"/>
          <w:szCs w:val="18"/>
        </w:rPr>
        <w:t xml:space="preserve">obchodu nebo obchodů s investičním nástrojem nebo jaké investiční služby se </w:t>
      </w:r>
      <w:r>
        <w:rPr>
          <w:rFonts w:asciiTheme="minorHAnsi" w:hAnsiTheme="minorHAnsi"/>
          <w:sz w:val="18"/>
          <w:szCs w:val="18"/>
        </w:rPr>
        <w:t xml:space="preserve">zařazení </w:t>
      </w:r>
      <w:r w:rsidRPr="00EC20F1">
        <w:rPr>
          <w:rFonts w:asciiTheme="minorHAnsi" w:hAnsiTheme="minorHAnsi"/>
          <w:sz w:val="18"/>
          <w:szCs w:val="18"/>
        </w:rPr>
        <w:t>týká.</w:t>
      </w:r>
    </w:p>
    <w:p w14:paraId="7CE43B15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10" w:name="_Toc499897777"/>
      <w:r w:rsidRPr="00EC20F1">
        <w:rPr>
          <w:rFonts w:asciiTheme="minorHAnsi" w:hAnsiTheme="minorHAnsi"/>
          <w:i w:val="0"/>
          <w:sz w:val="18"/>
          <w:szCs w:val="18"/>
        </w:rPr>
        <w:lastRenderedPageBreak/>
        <w:t>Přestup z kategorie způsobilých protistran do kategorie neprofesionálních zákazníků</w:t>
      </w:r>
      <w:bookmarkEnd w:id="10"/>
    </w:p>
    <w:p w14:paraId="5ABB9594" w14:textId="77777777" w:rsidR="00747063" w:rsidRDefault="00747063" w:rsidP="000C32D8">
      <w:pPr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Způsobilá protistrana může </w:t>
      </w:r>
      <w:r>
        <w:rPr>
          <w:rFonts w:asciiTheme="minorHAnsi" w:hAnsiTheme="minorHAnsi"/>
          <w:sz w:val="18"/>
          <w:szCs w:val="18"/>
        </w:rPr>
        <w:t xml:space="preserve">písemně </w:t>
      </w:r>
      <w:r w:rsidRPr="00EC20F1">
        <w:rPr>
          <w:rFonts w:asciiTheme="minorHAnsi" w:hAnsiTheme="minorHAnsi"/>
          <w:sz w:val="18"/>
          <w:szCs w:val="18"/>
        </w:rPr>
        <w:t xml:space="preserve">požádat Zprostředkovatele o zařazení do skupiny </w:t>
      </w:r>
      <w:r>
        <w:rPr>
          <w:rFonts w:asciiTheme="minorHAnsi" w:hAnsiTheme="minorHAnsi"/>
          <w:sz w:val="18"/>
          <w:szCs w:val="18"/>
        </w:rPr>
        <w:t>ne</w:t>
      </w:r>
      <w:r w:rsidRPr="00EC20F1">
        <w:rPr>
          <w:rFonts w:asciiTheme="minorHAnsi" w:hAnsiTheme="minorHAnsi"/>
          <w:sz w:val="18"/>
          <w:szCs w:val="18"/>
        </w:rPr>
        <w:t xml:space="preserve">profesionálních zákazníků. Ze žádosti musí být zřejmé, jakého obchodu nebo obchodů s investičním nástrojem nebo jaké investiční služby se taková žádost týká. </w:t>
      </w:r>
    </w:p>
    <w:p w14:paraId="69663FD5" w14:textId="77777777" w:rsidR="00CE1EB0" w:rsidRDefault="00CE1EB0" w:rsidP="000C32D8">
      <w:pPr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Zprostředkovatel </w:t>
      </w:r>
      <w:r>
        <w:rPr>
          <w:rFonts w:asciiTheme="minorHAnsi" w:hAnsiTheme="minorHAnsi"/>
          <w:sz w:val="18"/>
          <w:szCs w:val="18"/>
        </w:rPr>
        <w:t>t</w:t>
      </w:r>
      <w:r w:rsidRPr="00EC20F1">
        <w:rPr>
          <w:rFonts w:asciiTheme="minorHAnsi" w:hAnsiTheme="minorHAnsi"/>
          <w:sz w:val="18"/>
          <w:szCs w:val="18"/>
        </w:rPr>
        <w:t>omuto zákazníkovi vyd</w:t>
      </w:r>
      <w:r>
        <w:rPr>
          <w:rFonts w:asciiTheme="minorHAnsi" w:hAnsiTheme="minorHAnsi"/>
          <w:sz w:val="18"/>
          <w:szCs w:val="18"/>
        </w:rPr>
        <w:t>á</w:t>
      </w:r>
      <w:r w:rsidRPr="00EC20F1">
        <w:rPr>
          <w:rFonts w:asciiTheme="minorHAnsi" w:hAnsiTheme="minorHAnsi"/>
          <w:sz w:val="18"/>
          <w:szCs w:val="18"/>
        </w:rPr>
        <w:t xml:space="preserve"> na jeho žádost potvrzení o jeho zařazení do kategorie </w:t>
      </w:r>
      <w:r>
        <w:rPr>
          <w:rFonts w:asciiTheme="minorHAnsi" w:hAnsiTheme="minorHAnsi"/>
          <w:sz w:val="18"/>
          <w:szCs w:val="18"/>
        </w:rPr>
        <w:t>neprofesionálních zákazníků s </w:t>
      </w:r>
      <w:proofErr w:type="gramStart"/>
      <w:r>
        <w:rPr>
          <w:rFonts w:asciiTheme="minorHAnsi" w:hAnsiTheme="minorHAnsi"/>
          <w:sz w:val="18"/>
          <w:szCs w:val="18"/>
        </w:rPr>
        <w:t>uvedením</w:t>
      </w:r>
      <w:proofErr w:type="gramEnd"/>
      <w:r>
        <w:rPr>
          <w:rFonts w:asciiTheme="minorHAnsi" w:hAnsiTheme="minorHAnsi"/>
          <w:sz w:val="18"/>
          <w:szCs w:val="18"/>
        </w:rPr>
        <w:t xml:space="preserve"> jakého </w:t>
      </w:r>
      <w:r w:rsidRPr="00EC20F1">
        <w:rPr>
          <w:rFonts w:asciiTheme="minorHAnsi" w:hAnsiTheme="minorHAnsi"/>
          <w:sz w:val="18"/>
          <w:szCs w:val="18"/>
        </w:rPr>
        <w:t xml:space="preserve">obchodu nebo obchodů s investičním nástrojem nebo jaké investiční služby se </w:t>
      </w:r>
      <w:r>
        <w:rPr>
          <w:rFonts w:asciiTheme="minorHAnsi" w:hAnsiTheme="minorHAnsi"/>
          <w:sz w:val="18"/>
          <w:szCs w:val="18"/>
        </w:rPr>
        <w:t xml:space="preserve">zařazení </w:t>
      </w:r>
      <w:r w:rsidRPr="00EC20F1">
        <w:rPr>
          <w:rFonts w:asciiTheme="minorHAnsi" w:hAnsiTheme="minorHAnsi"/>
          <w:sz w:val="18"/>
          <w:szCs w:val="18"/>
        </w:rPr>
        <w:t>týká</w:t>
      </w:r>
      <w:r w:rsidR="00600C1E">
        <w:rPr>
          <w:rFonts w:asciiTheme="minorHAnsi" w:hAnsiTheme="minorHAnsi"/>
          <w:sz w:val="18"/>
          <w:szCs w:val="18"/>
        </w:rPr>
        <w:t>.</w:t>
      </w:r>
    </w:p>
    <w:p w14:paraId="12ABABE4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11" w:name="_Toc499897778"/>
      <w:r w:rsidRPr="00EC20F1">
        <w:rPr>
          <w:rFonts w:asciiTheme="minorHAnsi" w:hAnsiTheme="minorHAnsi"/>
          <w:i w:val="0"/>
          <w:sz w:val="18"/>
          <w:szCs w:val="18"/>
        </w:rPr>
        <w:t>Přestup z kategorie způsobilých protistran do kategorie profesionálních zákazníků</w:t>
      </w:r>
      <w:bookmarkEnd w:id="11"/>
    </w:p>
    <w:p w14:paraId="5EEE17AD" w14:textId="77777777" w:rsidR="000C32D8" w:rsidRDefault="000C32D8" w:rsidP="000C32D8">
      <w:pPr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Způsobilá protistrana může </w:t>
      </w:r>
      <w:r w:rsidR="00747063">
        <w:rPr>
          <w:rFonts w:asciiTheme="minorHAnsi" w:hAnsiTheme="minorHAnsi"/>
          <w:sz w:val="18"/>
          <w:szCs w:val="18"/>
        </w:rPr>
        <w:t xml:space="preserve">písemně </w:t>
      </w:r>
      <w:r w:rsidRPr="00EC20F1">
        <w:rPr>
          <w:rFonts w:asciiTheme="minorHAnsi" w:hAnsiTheme="minorHAnsi"/>
          <w:sz w:val="18"/>
          <w:szCs w:val="18"/>
        </w:rPr>
        <w:t xml:space="preserve">požádat Zprostředkovatele o zařazení do skupiny </w:t>
      </w:r>
      <w:r w:rsidR="007E1C05" w:rsidRPr="00EC20F1">
        <w:rPr>
          <w:rFonts w:asciiTheme="minorHAnsi" w:hAnsiTheme="minorHAnsi"/>
          <w:sz w:val="18"/>
          <w:szCs w:val="18"/>
        </w:rPr>
        <w:t xml:space="preserve">profesionálních </w:t>
      </w:r>
      <w:r w:rsidRPr="00EC20F1">
        <w:rPr>
          <w:rFonts w:asciiTheme="minorHAnsi" w:hAnsiTheme="minorHAnsi"/>
          <w:sz w:val="18"/>
          <w:szCs w:val="18"/>
        </w:rPr>
        <w:t>zákazníků. Ze žádosti musí být zřejmé, jakého obchodu nebo obchodů s investičním nástrojem nebo jaké investiční služby se taková žádost týká. Této žádosti je Zprostředkovatel povinen vyhovět.</w:t>
      </w:r>
    </w:p>
    <w:p w14:paraId="6F0F3D7C" w14:textId="77777777" w:rsidR="00CE1EB0" w:rsidRDefault="00CE1EB0" w:rsidP="00CE1EB0">
      <w:pPr>
        <w:spacing w:after="120"/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Zprostředkovatel </w:t>
      </w:r>
      <w:r>
        <w:rPr>
          <w:rFonts w:asciiTheme="minorHAnsi" w:hAnsiTheme="minorHAnsi"/>
          <w:sz w:val="18"/>
          <w:szCs w:val="18"/>
        </w:rPr>
        <w:t>t</w:t>
      </w:r>
      <w:r w:rsidRPr="00EC20F1">
        <w:rPr>
          <w:rFonts w:asciiTheme="minorHAnsi" w:hAnsiTheme="minorHAnsi"/>
          <w:sz w:val="18"/>
          <w:szCs w:val="18"/>
        </w:rPr>
        <w:t>omuto zákazníkovi vyd</w:t>
      </w:r>
      <w:r>
        <w:rPr>
          <w:rFonts w:asciiTheme="minorHAnsi" w:hAnsiTheme="minorHAnsi"/>
          <w:sz w:val="18"/>
          <w:szCs w:val="18"/>
        </w:rPr>
        <w:t>á</w:t>
      </w:r>
      <w:r w:rsidRPr="00EC20F1">
        <w:rPr>
          <w:rFonts w:asciiTheme="minorHAnsi" w:hAnsiTheme="minorHAnsi"/>
          <w:sz w:val="18"/>
          <w:szCs w:val="18"/>
        </w:rPr>
        <w:t xml:space="preserve"> na jeho žádost potvrzení o jeho zařazení do kategorie </w:t>
      </w:r>
      <w:r>
        <w:rPr>
          <w:rFonts w:asciiTheme="minorHAnsi" w:hAnsiTheme="minorHAnsi"/>
          <w:sz w:val="18"/>
          <w:szCs w:val="18"/>
        </w:rPr>
        <w:t>profesionálních zákazníků s </w:t>
      </w:r>
      <w:proofErr w:type="gramStart"/>
      <w:r>
        <w:rPr>
          <w:rFonts w:asciiTheme="minorHAnsi" w:hAnsiTheme="minorHAnsi"/>
          <w:sz w:val="18"/>
          <w:szCs w:val="18"/>
        </w:rPr>
        <w:t>uvedením</w:t>
      </w:r>
      <w:proofErr w:type="gramEnd"/>
      <w:r>
        <w:rPr>
          <w:rFonts w:asciiTheme="minorHAnsi" w:hAnsiTheme="minorHAnsi"/>
          <w:sz w:val="18"/>
          <w:szCs w:val="18"/>
        </w:rPr>
        <w:t xml:space="preserve"> jakého </w:t>
      </w:r>
      <w:r w:rsidRPr="00EC20F1">
        <w:rPr>
          <w:rFonts w:asciiTheme="minorHAnsi" w:hAnsiTheme="minorHAnsi"/>
          <w:sz w:val="18"/>
          <w:szCs w:val="18"/>
        </w:rPr>
        <w:t xml:space="preserve">obchodu nebo obchodů s investičním nástrojem nebo jaké investiční služby se </w:t>
      </w:r>
      <w:r>
        <w:rPr>
          <w:rFonts w:asciiTheme="minorHAnsi" w:hAnsiTheme="minorHAnsi"/>
          <w:sz w:val="18"/>
          <w:szCs w:val="18"/>
        </w:rPr>
        <w:t xml:space="preserve">zařazení </w:t>
      </w:r>
      <w:r w:rsidRPr="00EC20F1">
        <w:rPr>
          <w:rFonts w:asciiTheme="minorHAnsi" w:hAnsiTheme="minorHAnsi"/>
          <w:sz w:val="18"/>
          <w:szCs w:val="18"/>
        </w:rPr>
        <w:t>týká</w:t>
      </w:r>
    </w:p>
    <w:p w14:paraId="36B69EA1" w14:textId="77777777" w:rsidR="000C32D8" w:rsidRPr="00EC20F1" w:rsidRDefault="000C32D8" w:rsidP="000C32D8">
      <w:pPr>
        <w:pStyle w:val="Nadpis2"/>
        <w:numPr>
          <w:ilvl w:val="1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i w:val="0"/>
          <w:sz w:val="18"/>
          <w:szCs w:val="18"/>
        </w:rPr>
      </w:pPr>
      <w:bookmarkStart w:id="12" w:name="_Toc499897779"/>
      <w:r w:rsidRPr="00EC20F1">
        <w:rPr>
          <w:rFonts w:asciiTheme="minorHAnsi" w:hAnsiTheme="minorHAnsi"/>
          <w:i w:val="0"/>
          <w:sz w:val="18"/>
          <w:szCs w:val="18"/>
        </w:rPr>
        <w:t>Ostatní</w:t>
      </w:r>
      <w:bookmarkEnd w:id="12"/>
    </w:p>
    <w:p w14:paraId="16F06593" w14:textId="66A8A95F" w:rsidR="000C32D8" w:rsidRPr="00EC20F1" w:rsidRDefault="000C32D8" w:rsidP="000C32D8">
      <w:pPr>
        <w:numPr>
          <w:ilvl w:val="0"/>
          <w:numId w:val="12"/>
        </w:numPr>
        <w:spacing w:after="60" w:line="240" w:lineRule="auto"/>
        <w:ind w:left="851" w:hanging="284"/>
        <w:jc w:val="both"/>
        <w:rPr>
          <w:rFonts w:asciiTheme="minorHAnsi" w:hAnsiTheme="minorHAnsi"/>
          <w:b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Zprostředkovatel při poskytování investičních služeb je oprávněn </w:t>
      </w:r>
      <w:r w:rsidR="00E67292">
        <w:rPr>
          <w:rFonts w:asciiTheme="minorHAnsi" w:hAnsiTheme="minorHAnsi"/>
          <w:sz w:val="18"/>
          <w:szCs w:val="18"/>
        </w:rPr>
        <w:t xml:space="preserve">z vlastní iniciativy </w:t>
      </w:r>
      <w:r w:rsidRPr="00EC20F1">
        <w:rPr>
          <w:rFonts w:asciiTheme="minorHAnsi" w:hAnsiTheme="minorHAnsi"/>
          <w:sz w:val="18"/>
          <w:szCs w:val="18"/>
        </w:rPr>
        <w:t>způsobilou protistranu a profesionálního zákazníka zařadit pro určitý obchod nebo obchody s investičním nástroj</w:t>
      </w:r>
      <w:r w:rsidR="007C6E8F">
        <w:rPr>
          <w:rFonts w:asciiTheme="minorHAnsi" w:hAnsiTheme="minorHAnsi"/>
          <w:sz w:val="18"/>
          <w:szCs w:val="18"/>
        </w:rPr>
        <w:t>em</w:t>
      </w:r>
      <w:r w:rsidRPr="00EC20F1">
        <w:rPr>
          <w:rFonts w:asciiTheme="minorHAnsi" w:hAnsiTheme="minorHAnsi"/>
          <w:sz w:val="18"/>
          <w:szCs w:val="18"/>
        </w:rPr>
        <w:t xml:space="preserve"> nebo určitou investiční službu do kategorie neprofesionálních zákazníků a poskytnout jim tak větší míru ochrany, přičemž tuto skutečnost zákazníkovi sdělí. Ze sdělení musí být zřejmé, jakého obchodu nebo obchodů s investičním nástrojem nebo jaké investiční služby se tento postup týká.</w:t>
      </w:r>
      <w:r w:rsidR="00E67292">
        <w:rPr>
          <w:rFonts w:asciiTheme="minorHAnsi" w:hAnsiTheme="minorHAnsi"/>
          <w:sz w:val="18"/>
          <w:szCs w:val="18"/>
        </w:rPr>
        <w:t xml:space="preserve"> </w:t>
      </w:r>
    </w:p>
    <w:p w14:paraId="1F757F23" w14:textId="76F087A2" w:rsidR="008465FC" w:rsidRDefault="000C32D8" w:rsidP="008465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Zprostředkovatel při poskytování investičních služeb je oprávněn </w:t>
      </w:r>
      <w:r w:rsidR="00FC4DAC">
        <w:rPr>
          <w:rFonts w:asciiTheme="minorHAnsi" w:hAnsiTheme="minorHAnsi"/>
          <w:sz w:val="18"/>
          <w:szCs w:val="18"/>
        </w:rPr>
        <w:t xml:space="preserve">z vlastní iniciativy </w:t>
      </w:r>
      <w:r w:rsidRPr="00EC20F1">
        <w:rPr>
          <w:rFonts w:asciiTheme="minorHAnsi" w:hAnsiTheme="minorHAnsi"/>
          <w:sz w:val="18"/>
          <w:szCs w:val="18"/>
        </w:rPr>
        <w:t>způsobilou protistranu zařadit pro určitý obchod nebo obchody s investičním nástroj</w:t>
      </w:r>
      <w:r w:rsidR="007C6E8F">
        <w:rPr>
          <w:rFonts w:asciiTheme="minorHAnsi" w:hAnsiTheme="minorHAnsi"/>
          <w:sz w:val="18"/>
          <w:szCs w:val="18"/>
        </w:rPr>
        <w:t>em</w:t>
      </w:r>
      <w:r w:rsidRPr="00EC20F1">
        <w:rPr>
          <w:rFonts w:asciiTheme="minorHAnsi" w:hAnsiTheme="minorHAnsi"/>
          <w:sz w:val="18"/>
          <w:szCs w:val="18"/>
        </w:rPr>
        <w:t xml:space="preserve"> nebo určitou investiční službu do kategorie profesionálních zákazníků a poskytnout jí tak větší míru ochrany. Přitom musí být zřejmé, jakého obchodu nebo obchodů s investičním nástrojem nebo jaké investiční služby se tento postup týká.</w:t>
      </w:r>
    </w:p>
    <w:p w14:paraId="799B272C" w14:textId="77777777" w:rsidR="000C32D8" w:rsidRPr="00EC20F1" w:rsidRDefault="000C32D8" w:rsidP="000C32D8">
      <w:pPr>
        <w:pStyle w:val="Nadpis1"/>
        <w:numPr>
          <w:ilvl w:val="0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sz w:val="18"/>
          <w:szCs w:val="18"/>
        </w:rPr>
      </w:pPr>
      <w:bookmarkStart w:id="13" w:name="_Toc499897780"/>
      <w:r w:rsidRPr="00EC20F1">
        <w:rPr>
          <w:rFonts w:asciiTheme="minorHAnsi" w:hAnsiTheme="minorHAnsi"/>
          <w:sz w:val="18"/>
          <w:szCs w:val="18"/>
        </w:rPr>
        <w:t>Investiční profil zákazníka</w:t>
      </w:r>
      <w:bookmarkEnd w:id="13"/>
    </w:p>
    <w:p w14:paraId="503AAB6F" w14:textId="45E4C90A" w:rsidR="000C32D8" w:rsidRPr="00EC20F1" w:rsidRDefault="000C32D8" w:rsidP="000C32D8">
      <w:pPr>
        <w:ind w:left="567"/>
        <w:jc w:val="both"/>
        <w:rPr>
          <w:rFonts w:asciiTheme="minorHAnsi" w:hAnsiTheme="minorHAnsi"/>
          <w:snapToGrid w:val="0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 xml:space="preserve">V souvislosti s poskytováním investičních služeb je Zprostředkovatel povinen od neprofesionálního zákazníka získat některé informace, na </w:t>
      </w:r>
      <w:proofErr w:type="gramStart"/>
      <w:r w:rsidRPr="00EC20F1">
        <w:rPr>
          <w:rFonts w:asciiTheme="minorHAnsi" w:hAnsiTheme="minorHAnsi"/>
          <w:sz w:val="18"/>
          <w:szCs w:val="18"/>
        </w:rPr>
        <w:t>základě</w:t>
      </w:r>
      <w:proofErr w:type="gramEnd"/>
      <w:r w:rsidRPr="00EC20F1">
        <w:rPr>
          <w:rFonts w:asciiTheme="minorHAnsi" w:hAnsiTheme="minorHAnsi"/>
          <w:sz w:val="18"/>
          <w:szCs w:val="18"/>
        </w:rPr>
        <w:t xml:space="preserve"> kterých Zprostředkovatel stanoví investiční profil</w:t>
      </w:r>
      <w:r w:rsidR="000425B9" w:rsidRPr="00EC20F1">
        <w:rPr>
          <w:rFonts w:asciiTheme="minorHAnsi" w:hAnsiTheme="minorHAnsi"/>
          <w:sz w:val="18"/>
          <w:szCs w:val="18"/>
        </w:rPr>
        <w:t>/strategii</w:t>
      </w:r>
      <w:r w:rsidRPr="00EC20F1">
        <w:rPr>
          <w:rFonts w:asciiTheme="minorHAnsi" w:hAnsiTheme="minorHAnsi"/>
          <w:sz w:val="18"/>
          <w:szCs w:val="18"/>
        </w:rPr>
        <w:t xml:space="preserve"> zákazníka určující, které </w:t>
      </w:r>
      <w:r w:rsidR="00F13D1D" w:rsidRPr="00EC20F1">
        <w:rPr>
          <w:rFonts w:asciiTheme="minorHAnsi" w:hAnsiTheme="minorHAnsi"/>
          <w:snapToGrid w:val="0"/>
          <w:sz w:val="18"/>
          <w:szCs w:val="18"/>
        </w:rPr>
        <w:t xml:space="preserve">investiční služby </w:t>
      </w:r>
      <w:r w:rsidRPr="00EC20F1">
        <w:rPr>
          <w:rFonts w:asciiTheme="minorHAnsi" w:hAnsiTheme="minorHAnsi"/>
          <w:snapToGrid w:val="0"/>
          <w:sz w:val="18"/>
          <w:szCs w:val="18"/>
        </w:rPr>
        <w:t>nebo zprostředkování obchodu s investičním nástrojem v rámci investiční služby odpovídají odborným znalostem a zkušenostem</w:t>
      </w:r>
      <w:r w:rsidR="00FC4DAC">
        <w:rPr>
          <w:rFonts w:asciiTheme="minorHAnsi" w:hAnsiTheme="minorHAnsi"/>
          <w:snapToGrid w:val="0"/>
          <w:sz w:val="18"/>
          <w:szCs w:val="18"/>
        </w:rPr>
        <w:t xml:space="preserve"> zákazníka </w:t>
      </w:r>
      <w:r w:rsidRPr="00EC20F1">
        <w:rPr>
          <w:rFonts w:asciiTheme="minorHAnsi" w:hAnsiTheme="minorHAnsi"/>
          <w:snapToGrid w:val="0"/>
          <w:sz w:val="18"/>
          <w:szCs w:val="18"/>
        </w:rPr>
        <w:t>potřebným pro pochopení souvisejících rizik</w:t>
      </w:r>
      <w:r w:rsidR="00FC4DAC">
        <w:rPr>
          <w:rFonts w:asciiTheme="minorHAnsi" w:hAnsiTheme="minorHAnsi"/>
          <w:snapToGrid w:val="0"/>
          <w:sz w:val="18"/>
          <w:szCs w:val="18"/>
        </w:rPr>
        <w:t xml:space="preserve">, případně i </w:t>
      </w:r>
      <w:r w:rsidR="00FC4DAC" w:rsidRPr="00EC20F1">
        <w:rPr>
          <w:rFonts w:asciiTheme="minorHAnsi" w:hAnsiTheme="minorHAnsi"/>
          <w:snapToGrid w:val="0"/>
          <w:sz w:val="18"/>
          <w:szCs w:val="18"/>
        </w:rPr>
        <w:t>finančnímu zázemí zákazníka</w:t>
      </w:r>
      <w:r w:rsidR="00FC4DAC">
        <w:rPr>
          <w:rFonts w:asciiTheme="minorHAnsi" w:hAnsiTheme="minorHAnsi"/>
          <w:snapToGrid w:val="0"/>
          <w:sz w:val="18"/>
          <w:szCs w:val="18"/>
        </w:rPr>
        <w:t xml:space="preserve"> a</w:t>
      </w:r>
      <w:r w:rsidR="00FC4DAC" w:rsidRPr="00EC20F1">
        <w:rPr>
          <w:rFonts w:asciiTheme="minorHAnsi" w:hAnsiTheme="minorHAnsi"/>
          <w:snapToGrid w:val="0"/>
          <w:sz w:val="18"/>
          <w:szCs w:val="18"/>
        </w:rPr>
        <w:t xml:space="preserve"> jeho investičním cílům</w:t>
      </w:r>
      <w:r w:rsidRPr="00EC20F1">
        <w:rPr>
          <w:rFonts w:asciiTheme="minorHAnsi" w:hAnsiTheme="minorHAnsi"/>
          <w:snapToGrid w:val="0"/>
          <w:sz w:val="18"/>
          <w:szCs w:val="18"/>
        </w:rPr>
        <w:t>.</w:t>
      </w:r>
    </w:p>
    <w:p w14:paraId="75CFA341" w14:textId="5692DFA2" w:rsidR="00417A78" w:rsidRDefault="008465FC" w:rsidP="000C32D8">
      <w:pPr>
        <w:ind w:left="567"/>
        <w:jc w:val="both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Investiční profil</w:t>
      </w:r>
      <w:r w:rsidR="00173749" w:rsidRPr="00EC20F1">
        <w:rPr>
          <w:rFonts w:asciiTheme="minorHAnsi" w:hAnsiTheme="minorHAnsi"/>
          <w:sz w:val="18"/>
          <w:szCs w:val="18"/>
        </w:rPr>
        <w:t>/strategie</w:t>
      </w:r>
      <w:r w:rsidRPr="00EC20F1">
        <w:rPr>
          <w:rFonts w:asciiTheme="minorHAnsi" w:hAnsiTheme="minorHAnsi"/>
          <w:sz w:val="18"/>
          <w:szCs w:val="18"/>
        </w:rPr>
        <w:t xml:space="preserve"> </w:t>
      </w:r>
      <w:r w:rsidRPr="00A4596F">
        <w:rPr>
          <w:rFonts w:asciiTheme="minorHAnsi" w:hAnsiTheme="minorHAnsi"/>
          <w:sz w:val="18"/>
          <w:szCs w:val="18"/>
        </w:rPr>
        <w:t>zákazníka je vždy určen před poskytnutím investiční služby prostřednictvím investičního dotazníku Zprostředkovatele</w:t>
      </w:r>
      <w:r w:rsidR="00830D83" w:rsidRPr="00A4596F">
        <w:rPr>
          <w:rFonts w:asciiTheme="minorHAnsi" w:hAnsiTheme="minorHAnsi"/>
          <w:sz w:val="18"/>
          <w:szCs w:val="18"/>
        </w:rPr>
        <w:t xml:space="preserve"> </w:t>
      </w:r>
      <w:r w:rsidR="00830D83" w:rsidRPr="00587CA4">
        <w:rPr>
          <w:rFonts w:asciiTheme="minorHAnsi" w:hAnsiTheme="minorHAnsi"/>
          <w:sz w:val="18"/>
          <w:szCs w:val="18"/>
        </w:rPr>
        <w:t>nebo</w:t>
      </w:r>
      <w:r w:rsidR="00F05F32" w:rsidRPr="00587CA4">
        <w:rPr>
          <w:rFonts w:asciiTheme="minorHAnsi" w:hAnsiTheme="minorHAnsi"/>
          <w:sz w:val="18"/>
          <w:szCs w:val="18"/>
        </w:rPr>
        <w:t xml:space="preserve"> spolupracující</w:t>
      </w:r>
      <w:r w:rsidR="00830D83" w:rsidRPr="00587CA4">
        <w:rPr>
          <w:rFonts w:asciiTheme="minorHAnsi" w:hAnsiTheme="minorHAnsi"/>
          <w:sz w:val="18"/>
          <w:szCs w:val="18"/>
        </w:rPr>
        <w:t xml:space="preserve"> </w:t>
      </w:r>
      <w:r w:rsidR="00F05F32" w:rsidRPr="00587CA4">
        <w:rPr>
          <w:rFonts w:asciiTheme="minorHAnsi" w:hAnsiTheme="minorHAnsi"/>
          <w:sz w:val="18"/>
          <w:szCs w:val="18"/>
        </w:rPr>
        <w:t>f</w:t>
      </w:r>
      <w:r w:rsidR="00830D83" w:rsidRPr="00587CA4">
        <w:rPr>
          <w:rFonts w:asciiTheme="minorHAnsi" w:hAnsiTheme="minorHAnsi"/>
          <w:sz w:val="18"/>
          <w:szCs w:val="18"/>
        </w:rPr>
        <w:t>inanční instituce</w:t>
      </w:r>
      <w:r w:rsidR="00F05F32" w:rsidRPr="00587CA4">
        <w:rPr>
          <w:rFonts w:asciiTheme="minorHAnsi" w:hAnsiTheme="minorHAnsi"/>
          <w:sz w:val="18"/>
          <w:szCs w:val="18"/>
        </w:rPr>
        <w:t xml:space="preserve"> (obchodník s cennými papíry, investiční společnost)</w:t>
      </w:r>
      <w:r w:rsidRPr="00587CA4">
        <w:rPr>
          <w:rFonts w:asciiTheme="minorHAnsi" w:hAnsiTheme="minorHAnsi"/>
          <w:sz w:val="18"/>
          <w:szCs w:val="18"/>
        </w:rPr>
        <w:t>.</w:t>
      </w:r>
    </w:p>
    <w:p w14:paraId="39B6DDF7" w14:textId="77777777" w:rsidR="000C32D8" w:rsidRPr="00EC20F1" w:rsidRDefault="000C32D8" w:rsidP="000C32D8">
      <w:pPr>
        <w:pStyle w:val="Nadpis1"/>
        <w:numPr>
          <w:ilvl w:val="0"/>
          <w:numId w:val="1"/>
        </w:numPr>
        <w:spacing w:before="0" w:after="120" w:line="240" w:lineRule="auto"/>
        <w:ind w:left="567" w:hanging="567"/>
        <w:rPr>
          <w:rFonts w:asciiTheme="minorHAnsi" w:hAnsiTheme="minorHAnsi"/>
          <w:sz w:val="18"/>
          <w:szCs w:val="18"/>
        </w:rPr>
      </w:pPr>
      <w:bookmarkStart w:id="14" w:name="_Toc499897781"/>
      <w:r w:rsidRPr="00EC20F1">
        <w:rPr>
          <w:rFonts w:asciiTheme="minorHAnsi" w:hAnsiTheme="minorHAnsi"/>
          <w:sz w:val="18"/>
          <w:szCs w:val="18"/>
        </w:rPr>
        <w:t>Závěrečná ustanovení</w:t>
      </w:r>
      <w:bookmarkEnd w:id="14"/>
      <w:r w:rsidRPr="00EC20F1">
        <w:rPr>
          <w:rFonts w:asciiTheme="minorHAnsi" w:hAnsiTheme="minorHAnsi"/>
          <w:sz w:val="18"/>
          <w:szCs w:val="18"/>
        </w:rPr>
        <w:t xml:space="preserve"> </w:t>
      </w:r>
    </w:p>
    <w:p w14:paraId="376E0F31" w14:textId="77777777" w:rsidR="000C32D8" w:rsidRPr="00EC20F1" w:rsidRDefault="000C32D8" w:rsidP="000C32D8">
      <w:pPr>
        <w:ind w:left="567"/>
        <w:rPr>
          <w:rFonts w:asciiTheme="minorHAnsi" w:hAnsiTheme="minorHAnsi"/>
          <w:sz w:val="18"/>
          <w:szCs w:val="18"/>
        </w:rPr>
      </w:pPr>
      <w:r w:rsidRPr="00EC20F1">
        <w:rPr>
          <w:rFonts w:asciiTheme="minorHAnsi" w:hAnsiTheme="minorHAnsi"/>
          <w:sz w:val="18"/>
          <w:szCs w:val="18"/>
        </w:rPr>
        <w:t>Pro více informací týkající se kategorizace zákazníků kontaktuje Zprostředkovatele.</w:t>
      </w:r>
    </w:p>
    <w:p w14:paraId="1449A910" w14:textId="77777777" w:rsidR="0037577C" w:rsidRDefault="0037577C" w:rsidP="00EC20F1">
      <w:pPr>
        <w:ind w:left="567"/>
        <w:rPr>
          <w:rFonts w:asciiTheme="minorHAnsi" w:eastAsia="Batang" w:hAnsiTheme="minorHAnsi"/>
          <w:sz w:val="18"/>
          <w:szCs w:val="18"/>
        </w:rPr>
      </w:pPr>
    </w:p>
    <w:p w14:paraId="68E7919E" w14:textId="77777777" w:rsidR="00417A78" w:rsidRPr="00FA6F95" w:rsidRDefault="00417A78" w:rsidP="00417A78">
      <w:pPr>
        <w:spacing w:after="0" w:line="240" w:lineRule="auto"/>
        <w:ind w:left="924"/>
        <w:jc w:val="both"/>
        <w:rPr>
          <w:rFonts w:asciiTheme="minorHAnsi" w:hAnsiTheme="minorHAnsi"/>
          <w:sz w:val="20"/>
          <w:szCs w:val="20"/>
        </w:rPr>
      </w:pPr>
    </w:p>
    <w:p w14:paraId="16CA4D31" w14:textId="63CBF385" w:rsidR="00417A78" w:rsidRPr="00417A78" w:rsidRDefault="00417A78" w:rsidP="00417A78">
      <w:pPr>
        <w:ind w:left="567"/>
        <w:rPr>
          <w:rFonts w:asciiTheme="minorHAnsi" w:eastAsia="Batang" w:hAnsiTheme="minorHAnsi"/>
          <w:sz w:val="18"/>
          <w:szCs w:val="18"/>
        </w:rPr>
      </w:pPr>
      <w:r w:rsidRPr="00417A78">
        <w:rPr>
          <w:rFonts w:asciiTheme="minorHAnsi" w:eastAsia="Batang" w:hAnsiTheme="minorHAnsi"/>
          <w:sz w:val="18"/>
          <w:szCs w:val="18"/>
        </w:rPr>
        <w:t>V </w:t>
      </w:r>
      <w:r w:rsidR="00FE5B8F">
        <w:rPr>
          <w:sz w:val="18"/>
          <w:szCs w:val="18"/>
        </w:rPr>
        <w:t>Podolí</w:t>
      </w:r>
      <w:r w:rsidRPr="00417A78">
        <w:rPr>
          <w:rFonts w:asciiTheme="minorHAnsi" w:eastAsia="Batang" w:hAnsiTheme="minorHAnsi"/>
          <w:sz w:val="18"/>
          <w:szCs w:val="18"/>
        </w:rPr>
        <w:t xml:space="preserve">, dne </w:t>
      </w:r>
      <w:r w:rsidR="00A4596F">
        <w:rPr>
          <w:sz w:val="18"/>
          <w:szCs w:val="18"/>
        </w:rPr>
        <w:t>1. 5. 2020</w:t>
      </w:r>
    </w:p>
    <w:p w14:paraId="6A000EC4" w14:textId="73BEE567" w:rsidR="00417A78" w:rsidRPr="00417A78" w:rsidRDefault="00FE5B8F" w:rsidP="00417A78">
      <w:pPr>
        <w:spacing w:after="0"/>
        <w:ind w:firstLine="567"/>
        <w:rPr>
          <w:rFonts w:asciiTheme="minorHAnsi" w:hAnsiTheme="minorHAnsi"/>
          <w:sz w:val="18"/>
          <w:szCs w:val="18"/>
        </w:rPr>
      </w:pPr>
      <w:r>
        <w:rPr>
          <w:b/>
          <w:bCs/>
          <w:sz w:val="18"/>
          <w:szCs w:val="18"/>
          <w:shd w:val="clear" w:color="auto" w:fill="FFFFFF"/>
        </w:rPr>
        <w:t xml:space="preserve">MM </w:t>
      </w:r>
      <w:proofErr w:type="spellStart"/>
      <w:r>
        <w:rPr>
          <w:b/>
          <w:bCs/>
          <w:sz w:val="18"/>
          <w:szCs w:val="18"/>
          <w:shd w:val="clear" w:color="auto" w:fill="FFFFFF"/>
        </w:rPr>
        <w:t>Optimal</w:t>
      </w:r>
      <w:proofErr w:type="spellEnd"/>
      <w:r>
        <w:rPr>
          <w:b/>
          <w:bCs/>
          <w:sz w:val="18"/>
          <w:szCs w:val="18"/>
          <w:shd w:val="clear" w:color="auto" w:fill="FFFFFF"/>
        </w:rPr>
        <w:t>, s.r.o.</w:t>
      </w:r>
    </w:p>
    <w:p w14:paraId="1F43575D" w14:textId="77777777" w:rsidR="005F08BE" w:rsidRPr="00EC20F1" w:rsidRDefault="005F08BE" w:rsidP="00417A78">
      <w:pPr>
        <w:ind w:left="567"/>
        <w:rPr>
          <w:rFonts w:asciiTheme="minorHAnsi" w:hAnsiTheme="minorHAnsi"/>
          <w:sz w:val="12"/>
          <w:szCs w:val="18"/>
        </w:rPr>
      </w:pPr>
    </w:p>
    <w:sectPr w:rsidR="005F08BE" w:rsidRPr="00EC20F1" w:rsidSect="00F667AE">
      <w:footerReference w:type="even" r:id="rId8"/>
      <w:footerReference w:type="default" r:id="rId9"/>
      <w:pgSz w:w="11906" w:h="16838"/>
      <w:pgMar w:top="719" w:right="991" w:bottom="993" w:left="1134" w:header="708" w:footer="16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0426" w14:textId="77777777" w:rsidR="00615B2A" w:rsidRDefault="00615B2A" w:rsidP="000C32D8">
      <w:pPr>
        <w:spacing w:after="0" w:line="240" w:lineRule="auto"/>
      </w:pPr>
      <w:r>
        <w:separator/>
      </w:r>
    </w:p>
  </w:endnote>
  <w:endnote w:type="continuationSeparator" w:id="0">
    <w:p w14:paraId="3AD62268" w14:textId="77777777" w:rsidR="00615B2A" w:rsidRDefault="00615B2A" w:rsidP="000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B2D3" w14:textId="77777777" w:rsidR="00EE4769" w:rsidRDefault="00002974" w:rsidP="00E10D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E63B5E" w14:textId="77777777" w:rsidR="00EE4769" w:rsidRDefault="00615B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FB80" w14:textId="77777777" w:rsidR="0051551C" w:rsidRDefault="0051551C" w:rsidP="006E0CB3">
    <w:pPr>
      <w:pStyle w:val="Zpat"/>
      <w:rPr>
        <w:rFonts w:ascii="Times New Roman" w:hAnsi="Times New Roman"/>
        <w:sz w:val="14"/>
        <w:szCs w:val="14"/>
      </w:rPr>
    </w:pPr>
  </w:p>
  <w:p w14:paraId="6B705B74" w14:textId="1B405FCB" w:rsidR="006E0CB3" w:rsidRPr="00EC20F1" w:rsidRDefault="006E0CB3" w:rsidP="006E0CB3">
    <w:pPr>
      <w:pStyle w:val="Zpat"/>
      <w:rPr>
        <w:rFonts w:asciiTheme="minorHAnsi" w:hAnsiTheme="minorHAnsi"/>
      </w:rPr>
    </w:pPr>
    <w:proofErr w:type="spellStart"/>
    <w:r w:rsidRPr="00EC20F1">
      <w:rPr>
        <w:rFonts w:asciiTheme="minorHAnsi" w:hAnsiTheme="minorHAnsi"/>
        <w:sz w:val="14"/>
        <w:szCs w:val="14"/>
      </w:rPr>
      <w:t>Kategorizace_</w:t>
    </w:r>
    <w:r w:rsidR="00FE5B8F" w:rsidRPr="00FE5B8F">
      <w:rPr>
        <w:rFonts w:asciiTheme="minorHAnsi" w:hAnsiTheme="minorHAnsi"/>
        <w:sz w:val="14"/>
        <w:szCs w:val="14"/>
      </w:rPr>
      <w:t>MM</w:t>
    </w:r>
    <w:proofErr w:type="spellEnd"/>
    <w:r w:rsidR="00FE5B8F" w:rsidRPr="00FE5B8F">
      <w:rPr>
        <w:rFonts w:asciiTheme="minorHAnsi" w:hAnsiTheme="minorHAnsi"/>
        <w:sz w:val="14"/>
        <w:szCs w:val="14"/>
      </w:rPr>
      <w:t xml:space="preserve"> Optimal</w:t>
    </w:r>
    <w:r w:rsidR="00417A78">
      <w:rPr>
        <w:rFonts w:asciiTheme="minorHAnsi" w:hAnsiTheme="minorHAnsi"/>
        <w:sz w:val="14"/>
        <w:szCs w:val="14"/>
      </w:rPr>
      <w:t>_20200</w:t>
    </w:r>
    <w:r w:rsidR="00D96574">
      <w:rPr>
        <w:rFonts w:asciiTheme="minorHAnsi" w:hAnsiTheme="minorHAnsi"/>
        <w:sz w:val="14"/>
        <w:szCs w:val="14"/>
      </w:rPr>
      <w:t>5</w:t>
    </w:r>
    <w:r w:rsidR="00417A78">
      <w:rPr>
        <w:rFonts w:asciiTheme="minorHAnsi" w:hAnsiTheme="minorHAnsi"/>
        <w:sz w:val="14"/>
        <w:szCs w:val="14"/>
      </w:rPr>
      <w:t>01</w:t>
    </w:r>
  </w:p>
  <w:p w14:paraId="507157F1" w14:textId="77777777" w:rsidR="006E0CB3" w:rsidRPr="00E1754B" w:rsidRDefault="00615B2A">
    <w:pPr>
      <w:pStyle w:val="Zpat"/>
      <w:jc w:val="right"/>
      <w:rPr>
        <w:rFonts w:asciiTheme="minorHAnsi" w:hAnsiTheme="minorHAnsi"/>
        <w:sz w:val="16"/>
      </w:rPr>
    </w:pPr>
    <w:sdt>
      <w:sdtPr>
        <w:id w:val="-103819904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6E0CB3" w:rsidRPr="00E1754B">
          <w:rPr>
            <w:rFonts w:asciiTheme="minorHAnsi" w:hAnsiTheme="minorHAnsi"/>
            <w:sz w:val="16"/>
          </w:rPr>
          <w:fldChar w:fldCharType="begin"/>
        </w:r>
        <w:r w:rsidR="006E0CB3" w:rsidRPr="00E1754B">
          <w:rPr>
            <w:rFonts w:asciiTheme="minorHAnsi" w:hAnsiTheme="minorHAnsi"/>
            <w:sz w:val="16"/>
          </w:rPr>
          <w:instrText>PAGE   \* MERGEFORMAT</w:instrText>
        </w:r>
        <w:r w:rsidR="006E0CB3" w:rsidRPr="00E1754B">
          <w:rPr>
            <w:rFonts w:asciiTheme="minorHAnsi" w:hAnsiTheme="minorHAnsi"/>
            <w:sz w:val="16"/>
          </w:rPr>
          <w:fldChar w:fldCharType="separate"/>
        </w:r>
        <w:r w:rsidR="003D5FD3">
          <w:rPr>
            <w:rFonts w:asciiTheme="minorHAnsi" w:hAnsiTheme="minorHAnsi"/>
            <w:noProof/>
            <w:sz w:val="16"/>
          </w:rPr>
          <w:t>4</w:t>
        </w:r>
        <w:r w:rsidR="006E0CB3" w:rsidRPr="00E1754B">
          <w:rPr>
            <w:rFonts w:asciiTheme="minorHAnsi" w:hAnsiTheme="minorHAnsi"/>
            <w:sz w:val="16"/>
          </w:rPr>
          <w:fldChar w:fldCharType="end"/>
        </w:r>
      </w:sdtContent>
    </w:sdt>
  </w:p>
  <w:p w14:paraId="27479A7C" w14:textId="77777777" w:rsidR="006E0CB3" w:rsidRDefault="006E0CB3" w:rsidP="006E0CB3">
    <w:pPr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89BE" w14:textId="77777777" w:rsidR="00615B2A" w:rsidRDefault="00615B2A" w:rsidP="000C32D8">
      <w:pPr>
        <w:spacing w:after="0" w:line="240" w:lineRule="auto"/>
      </w:pPr>
      <w:r>
        <w:separator/>
      </w:r>
    </w:p>
  </w:footnote>
  <w:footnote w:type="continuationSeparator" w:id="0">
    <w:p w14:paraId="08F61818" w14:textId="77777777" w:rsidR="00615B2A" w:rsidRDefault="00615B2A" w:rsidP="000C32D8">
      <w:pPr>
        <w:spacing w:after="0" w:line="240" w:lineRule="auto"/>
      </w:pPr>
      <w:r>
        <w:continuationSeparator/>
      </w:r>
    </w:p>
  </w:footnote>
  <w:footnote w:id="1">
    <w:p w14:paraId="418F0D74" w14:textId="77777777" w:rsidR="00B620AC" w:rsidRPr="00897550" w:rsidRDefault="00B620AC">
      <w:pPr>
        <w:pStyle w:val="Textpoznpodarou"/>
        <w:rPr>
          <w:sz w:val="18"/>
        </w:rPr>
      </w:pPr>
      <w:r w:rsidRPr="00897550">
        <w:rPr>
          <w:rStyle w:val="Znakapoznpodarou"/>
          <w:rFonts w:asciiTheme="minorHAnsi" w:hAnsiTheme="minorHAnsi"/>
          <w:sz w:val="14"/>
          <w:szCs w:val="16"/>
        </w:rPr>
        <w:footnoteRef/>
      </w:r>
      <w:r w:rsidRPr="00897550">
        <w:rPr>
          <w:rFonts w:asciiTheme="minorHAnsi" w:hAnsiTheme="minorHAnsi"/>
          <w:sz w:val="14"/>
          <w:szCs w:val="16"/>
        </w:rPr>
        <w:t xml:space="preserve"> Toto pravidlo se nevztahuje na profesionální zákazníky podle článku 3.1.</w:t>
      </w:r>
    </w:p>
  </w:footnote>
  <w:footnote w:id="2">
    <w:p w14:paraId="2803F5A8" w14:textId="77777777" w:rsidR="00B720B1" w:rsidRDefault="00B720B1" w:rsidP="00B720B1">
      <w:pPr>
        <w:pStyle w:val="Textpoznpodarou"/>
      </w:pPr>
      <w:r w:rsidRPr="00897550">
        <w:rPr>
          <w:rStyle w:val="Znakapoznpodarou"/>
          <w:rFonts w:asciiTheme="minorHAnsi" w:hAnsiTheme="minorHAnsi"/>
          <w:sz w:val="14"/>
          <w:szCs w:val="16"/>
        </w:rPr>
        <w:footnoteRef/>
      </w:r>
      <w:r w:rsidRPr="00897550">
        <w:rPr>
          <w:rFonts w:asciiTheme="minorHAnsi" w:hAnsiTheme="minorHAnsi"/>
          <w:sz w:val="14"/>
          <w:szCs w:val="16"/>
        </w:rPr>
        <w:t xml:space="preserve"> Toto pravidlo se nevztahuje na profesionální zákazníky podle článku 3.1.</w:t>
      </w:r>
    </w:p>
  </w:footnote>
  <w:footnote w:id="3">
    <w:p w14:paraId="3AF3F1B1" w14:textId="77777777" w:rsidR="000C32D8" w:rsidRPr="00897550" w:rsidRDefault="000C32D8" w:rsidP="000C32D8">
      <w:pPr>
        <w:pStyle w:val="Textpoznpodarou"/>
        <w:rPr>
          <w:rFonts w:asciiTheme="minorHAnsi" w:hAnsiTheme="minorHAnsi"/>
          <w:sz w:val="14"/>
          <w:szCs w:val="16"/>
        </w:rPr>
      </w:pPr>
      <w:r w:rsidRPr="00897550">
        <w:rPr>
          <w:rStyle w:val="Znakapoznpodarou"/>
          <w:rFonts w:asciiTheme="minorHAnsi" w:hAnsiTheme="minorHAnsi"/>
          <w:sz w:val="14"/>
          <w:szCs w:val="16"/>
        </w:rPr>
        <w:footnoteRef/>
      </w:r>
      <w:r w:rsidRPr="00897550">
        <w:rPr>
          <w:rFonts w:asciiTheme="minorHAnsi" w:hAnsiTheme="minorHAnsi"/>
          <w:sz w:val="14"/>
          <w:szCs w:val="16"/>
        </w:rPr>
        <w:t>Na tyto skutečnosti Zprostředkovatel žadatele výslovně upozorní.</w:t>
      </w:r>
    </w:p>
  </w:footnote>
  <w:footnote w:id="4">
    <w:p w14:paraId="3B8BEDF7" w14:textId="77777777" w:rsidR="000C32D8" w:rsidRPr="00897550" w:rsidRDefault="000C32D8" w:rsidP="000C32D8">
      <w:pPr>
        <w:pStyle w:val="Textpoznpodarou"/>
        <w:rPr>
          <w:rFonts w:ascii="Times New Roman" w:hAnsi="Times New Roman"/>
          <w:sz w:val="14"/>
          <w:szCs w:val="16"/>
        </w:rPr>
      </w:pPr>
      <w:r w:rsidRPr="00897550">
        <w:rPr>
          <w:rStyle w:val="Znakapoznpodarou"/>
          <w:rFonts w:asciiTheme="minorHAnsi" w:hAnsiTheme="minorHAnsi"/>
          <w:sz w:val="14"/>
          <w:szCs w:val="16"/>
        </w:rPr>
        <w:footnoteRef/>
      </w:r>
      <w:r w:rsidRPr="00897550">
        <w:rPr>
          <w:rFonts w:asciiTheme="minorHAnsi" w:hAnsiTheme="minorHAnsi"/>
          <w:sz w:val="14"/>
          <w:szCs w:val="16"/>
        </w:rPr>
        <w:t>Zprostředkovatel je povinen průběžně ověřovat a pravidelně hodnotit, zda tyto podmínky nepřestal zákazník splňovat.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D3"/>
    <w:multiLevelType w:val="hybridMultilevel"/>
    <w:tmpl w:val="AF9447B2"/>
    <w:lvl w:ilvl="0" w:tplc="CF38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FBE"/>
    <w:multiLevelType w:val="hybridMultilevel"/>
    <w:tmpl w:val="DE923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F88"/>
    <w:multiLevelType w:val="hybridMultilevel"/>
    <w:tmpl w:val="8E500748"/>
    <w:lvl w:ilvl="0" w:tplc="04050017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0F171D66"/>
    <w:multiLevelType w:val="hybridMultilevel"/>
    <w:tmpl w:val="2E9EDCBA"/>
    <w:lvl w:ilvl="0" w:tplc="624A33AC">
      <w:start w:val="1"/>
      <w:numFmt w:val="lowerLetter"/>
      <w:lvlText w:val="%1)"/>
      <w:lvlJc w:val="left"/>
      <w:pPr>
        <w:ind w:left="644" w:hanging="360"/>
      </w:pPr>
      <w:rPr>
        <w:b/>
        <w:sz w:val="18"/>
        <w:szCs w:val="18"/>
      </w:rPr>
    </w:lvl>
    <w:lvl w:ilvl="1" w:tplc="EE40C2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B0505A"/>
    <w:multiLevelType w:val="multilevel"/>
    <w:tmpl w:val="44BC4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C23D37"/>
    <w:multiLevelType w:val="hybridMultilevel"/>
    <w:tmpl w:val="F90AB390"/>
    <w:lvl w:ilvl="0" w:tplc="0AE8A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E3B"/>
    <w:multiLevelType w:val="hybridMultilevel"/>
    <w:tmpl w:val="4B2684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8746FC"/>
    <w:multiLevelType w:val="hybridMultilevel"/>
    <w:tmpl w:val="DE5C160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BE06A10"/>
    <w:multiLevelType w:val="hybridMultilevel"/>
    <w:tmpl w:val="42449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F56"/>
    <w:multiLevelType w:val="hybridMultilevel"/>
    <w:tmpl w:val="372CE446"/>
    <w:lvl w:ilvl="0" w:tplc="E16EE3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6F64D8E">
      <w:start w:val="1"/>
      <w:numFmt w:val="bullet"/>
      <w:lvlText w:val="o"/>
      <w:lvlJc w:val="left"/>
      <w:pPr>
        <w:ind w:left="1797" w:hanging="360"/>
      </w:pPr>
      <w:rPr>
        <w:rFonts w:ascii="Symbol" w:hAnsi="Symbol" w:cs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DA2D24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4C3778"/>
    <w:multiLevelType w:val="hybridMultilevel"/>
    <w:tmpl w:val="179406DA"/>
    <w:lvl w:ilvl="0" w:tplc="43DEED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3134"/>
    <w:multiLevelType w:val="hybridMultilevel"/>
    <w:tmpl w:val="18AE4DBA"/>
    <w:lvl w:ilvl="0" w:tplc="48FA289E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881E5254">
      <w:start w:val="1"/>
      <w:numFmt w:val="bullet"/>
      <w:lvlText w:val="o"/>
      <w:lvlJc w:val="left"/>
      <w:pPr>
        <w:ind w:left="1860" w:hanging="360"/>
      </w:pPr>
      <w:rPr>
        <w:rFonts w:ascii="Symbol" w:hAnsi="Symbol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9A1302"/>
    <w:multiLevelType w:val="multilevel"/>
    <w:tmpl w:val="D930C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" w:hanging="1440"/>
      </w:pPr>
      <w:rPr>
        <w:rFonts w:hint="default"/>
      </w:rPr>
    </w:lvl>
  </w:abstractNum>
  <w:abstractNum w:abstractNumId="13" w15:restartNumberingAfterBreak="0">
    <w:nsid w:val="5D6A054C"/>
    <w:multiLevelType w:val="hybridMultilevel"/>
    <w:tmpl w:val="B17EA7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81459"/>
    <w:multiLevelType w:val="hybridMultilevel"/>
    <w:tmpl w:val="C80E5B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6440FAC"/>
    <w:multiLevelType w:val="hybridMultilevel"/>
    <w:tmpl w:val="E34EC6BA"/>
    <w:lvl w:ilvl="0" w:tplc="5DA60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64FA8"/>
    <w:multiLevelType w:val="hybridMultilevel"/>
    <w:tmpl w:val="0602D3EC"/>
    <w:lvl w:ilvl="0" w:tplc="0AC81AA2">
      <w:start w:val="4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8"/>
    <w:rsid w:val="00002974"/>
    <w:rsid w:val="000425B9"/>
    <w:rsid w:val="00094B66"/>
    <w:rsid w:val="00097423"/>
    <w:rsid w:val="000A6573"/>
    <w:rsid w:val="000C32D8"/>
    <w:rsid w:val="000D6D57"/>
    <w:rsid w:val="000F51CC"/>
    <w:rsid w:val="00173749"/>
    <w:rsid w:val="001A532C"/>
    <w:rsid w:val="0020051C"/>
    <w:rsid w:val="00201451"/>
    <w:rsid w:val="002071C0"/>
    <w:rsid w:val="00227B84"/>
    <w:rsid w:val="00230159"/>
    <w:rsid w:val="00233EC6"/>
    <w:rsid w:val="002370CE"/>
    <w:rsid w:val="00265CDD"/>
    <w:rsid w:val="00271F5C"/>
    <w:rsid w:val="00321DA2"/>
    <w:rsid w:val="00335C58"/>
    <w:rsid w:val="00337C6B"/>
    <w:rsid w:val="003639E1"/>
    <w:rsid w:val="00363C90"/>
    <w:rsid w:val="0037577C"/>
    <w:rsid w:val="003A6E97"/>
    <w:rsid w:val="003C3CB6"/>
    <w:rsid w:val="003D5FD3"/>
    <w:rsid w:val="003D7638"/>
    <w:rsid w:val="003E012A"/>
    <w:rsid w:val="003E4433"/>
    <w:rsid w:val="003E5AE0"/>
    <w:rsid w:val="004050F1"/>
    <w:rsid w:val="00412147"/>
    <w:rsid w:val="00417A78"/>
    <w:rsid w:val="0043435D"/>
    <w:rsid w:val="00443A2B"/>
    <w:rsid w:val="004A048A"/>
    <w:rsid w:val="004A52E9"/>
    <w:rsid w:val="004C49D3"/>
    <w:rsid w:val="004D78DF"/>
    <w:rsid w:val="004E7343"/>
    <w:rsid w:val="0051551C"/>
    <w:rsid w:val="00532D5C"/>
    <w:rsid w:val="005510AE"/>
    <w:rsid w:val="00555F99"/>
    <w:rsid w:val="00560B70"/>
    <w:rsid w:val="0057018E"/>
    <w:rsid w:val="00587CA4"/>
    <w:rsid w:val="005D58C6"/>
    <w:rsid w:val="005F08BE"/>
    <w:rsid w:val="005F3E4C"/>
    <w:rsid w:val="00600C1E"/>
    <w:rsid w:val="00615B2A"/>
    <w:rsid w:val="00647419"/>
    <w:rsid w:val="0067267C"/>
    <w:rsid w:val="00673097"/>
    <w:rsid w:val="00696A59"/>
    <w:rsid w:val="006B09D0"/>
    <w:rsid w:val="006C3E8A"/>
    <w:rsid w:val="006E0CB3"/>
    <w:rsid w:val="007104F3"/>
    <w:rsid w:val="0071416F"/>
    <w:rsid w:val="007167D3"/>
    <w:rsid w:val="00747063"/>
    <w:rsid w:val="007550F7"/>
    <w:rsid w:val="00766BE3"/>
    <w:rsid w:val="007C6E8F"/>
    <w:rsid w:val="007D6118"/>
    <w:rsid w:val="007E1C05"/>
    <w:rsid w:val="00830D83"/>
    <w:rsid w:val="008465FC"/>
    <w:rsid w:val="00872F44"/>
    <w:rsid w:val="00897550"/>
    <w:rsid w:val="008A7E28"/>
    <w:rsid w:val="008B0367"/>
    <w:rsid w:val="009076B5"/>
    <w:rsid w:val="00960B0F"/>
    <w:rsid w:val="00967CDE"/>
    <w:rsid w:val="00995F1A"/>
    <w:rsid w:val="009C2C14"/>
    <w:rsid w:val="009C36DA"/>
    <w:rsid w:val="009D3E92"/>
    <w:rsid w:val="009D7C0C"/>
    <w:rsid w:val="00A222E5"/>
    <w:rsid w:val="00A3700A"/>
    <w:rsid w:val="00A44F6D"/>
    <w:rsid w:val="00A4596F"/>
    <w:rsid w:val="00A521BB"/>
    <w:rsid w:val="00A546F1"/>
    <w:rsid w:val="00A64129"/>
    <w:rsid w:val="00A65166"/>
    <w:rsid w:val="00A8614B"/>
    <w:rsid w:val="00AA3C5D"/>
    <w:rsid w:val="00AB2905"/>
    <w:rsid w:val="00AC318F"/>
    <w:rsid w:val="00B03D9B"/>
    <w:rsid w:val="00B1238A"/>
    <w:rsid w:val="00B3212E"/>
    <w:rsid w:val="00B33336"/>
    <w:rsid w:val="00B620AC"/>
    <w:rsid w:val="00B720B1"/>
    <w:rsid w:val="00B818E6"/>
    <w:rsid w:val="00B90A23"/>
    <w:rsid w:val="00BB7ADC"/>
    <w:rsid w:val="00BE5CFA"/>
    <w:rsid w:val="00C03481"/>
    <w:rsid w:val="00C16447"/>
    <w:rsid w:val="00C96D52"/>
    <w:rsid w:val="00CB286D"/>
    <w:rsid w:val="00CD3968"/>
    <w:rsid w:val="00CE1EB0"/>
    <w:rsid w:val="00CF2AAA"/>
    <w:rsid w:val="00D46E67"/>
    <w:rsid w:val="00D7698D"/>
    <w:rsid w:val="00D96574"/>
    <w:rsid w:val="00D97413"/>
    <w:rsid w:val="00DA4A1F"/>
    <w:rsid w:val="00DB04E0"/>
    <w:rsid w:val="00DC2C52"/>
    <w:rsid w:val="00E1754B"/>
    <w:rsid w:val="00E319FF"/>
    <w:rsid w:val="00E67292"/>
    <w:rsid w:val="00EA41D0"/>
    <w:rsid w:val="00EB606E"/>
    <w:rsid w:val="00EC20F1"/>
    <w:rsid w:val="00EF48D2"/>
    <w:rsid w:val="00F05F32"/>
    <w:rsid w:val="00F13D1D"/>
    <w:rsid w:val="00F401D5"/>
    <w:rsid w:val="00F5339E"/>
    <w:rsid w:val="00F667AE"/>
    <w:rsid w:val="00FB6EB7"/>
    <w:rsid w:val="00FC4DAC"/>
    <w:rsid w:val="00FE2A0B"/>
    <w:rsid w:val="00FE5B8F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84D6"/>
  <w15:docId w15:val="{5035A83F-D137-4B57-913F-F3ED508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2D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C32D8"/>
    <w:pPr>
      <w:keepNext/>
      <w:spacing w:before="240" w:after="60" w:line="216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0C32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32D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0C3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rsid w:val="000C3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32D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0C32D8"/>
  </w:style>
  <w:style w:type="paragraph" w:styleId="Odstavecseseznamem">
    <w:name w:val="List Paragraph"/>
    <w:basedOn w:val="Normln"/>
    <w:uiPriority w:val="34"/>
    <w:qFormat/>
    <w:rsid w:val="000C32D8"/>
    <w:pPr>
      <w:spacing w:after="0" w:line="216" w:lineRule="exact"/>
      <w:ind w:left="720"/>
      <w:contextualSpacing/>
    </w:pPr>
    <w:rPr>
      <w:rFonts w:ascii="Arial" w:eastAsia="Times New Roman" w:hAnsi="Arial"/>
      <w:sz w:val="18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C32D8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C32D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C32D8"/>
    <w:rPr>
      <w:vertAlign w:val="superscript"/>
    </w:rPr>
  </w:style>
  <w:style w:type="character" w:customStyle="1" w:styleId="Nadpis2Char1">
    <w:name w:val="Nadpis 2 Char1"/>
    <w:link w:val="Nadpis2"/>
    <w:uiPriority w:val="9"/>
    <w:semiHidden/>
    <w:rsid w:val="000C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sid w:val="000C32D8"/>
    <w:rPr>
      <w:color w:val="0000FF"/>
      <w:u w:val="single"/>
    </w:rPr>
  </w:style>
  <w:style w:type="character" w:styleId="Siln">
    <w:name w:val="Strong"/>
    <w:uiPriority w:val="22"/>
    <w:qFormat/>
    <w:rsid w:val="000C32D8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32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C32D8"/>
    <w:pPr>
      <w:tabs>
        <w:tab w:val="left" w:pos="440"/>
        <w:tab w:val="right" w:leader="dot" w:pos="9356"/>
      </w:tabs>
      <w:spacing w:after="0" w:line="360" w:lineRule="auto"/>
    </w:pPr>
    <w:rPr>
      <w:rFonts w:ascii="Times New Roman" w:eastAsia="Times New Roman" w:hAnsi="Times New Roman"/>
      <w:sz w:val="20"/>
      <w:szCs w:val="20"/>
      <w:lang w:val="en-AU"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C32D8"/>
    <w:pPr>
      <w:tabs>
        <w:tab w:val="left" w:pos="880"/>
        <w:tab w:val="right" w:leader="dot" w:pos="9356"/>
        <w:tab w:val="right" w:leader="dot" w:pos="9465"/>
      </w:tabs>
      <w:spacing w:after="0"/>
      <w:ind w:left="200"/>
    </w:pPr>
    <w:rPr>
      <w:rFonts w:ascii="Times New Roman" w:eastAsia="Times New Roman" w:hAnsi="Times New Roman"/>
      <w:sz w:val="20"/>
      <w:szCs w:val="20"/>
      <w:lang w:val="en-AU" w:eastAsia="cs-CZ"/>
    </w:rPr>
  </w:style>
  <w:style w:type="paragraph" w:styleId="Zhlav">
    <w:name w:val="header"/>
    <w:basedOn w:val="Normln"/>
    <w:link w:val="ZhlavChar"/>
    <w:uiPriority w:val="99"/>
    <w:unhideWhenUsed/>
    <w:rsid w:val="006E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CB3"/>
    <w:rPr>
      <w:rFonts w:ascii="Calibri" w:eastAsia="Calibri" w:hAnsi="Calibri" w:cs="Times New Roman"/>
    </w:rPr>
  </w:style>
  <w:style w:type="character" w:customStyle="1" w:styleId="preformatted">
    <w:name w:val="preformatted"/>
    <w:basedOn w:val="Standardnpsmoodstavce"/>
    <w:rsid w:val="003E012A"/>
  </w:style>
  <w:style w:type="paragraph" w:styleId="Textbubliny">
    <w:name w:val="Balloon Text"/>
    <w:basedOn w:val="Normln"/>
    <w:link w:val="TextbublinyChar"/>
    <w:uiPriority w:val="99"/>
    <w:semiHidden/>
    <w:unhideWhenUsed/>
    <w:rsid w:val="0020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51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766BE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66B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6BE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B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B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ag">
    <w:name w:val="lag"/>
    <w:basedOn w:val="Normln"/>
    <w:rsid w:val="00B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B7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12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C167-1BEF-A147-A2C3-77707906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2241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Fráňa</dc:creator>
  <cp:lastModifiedBy>Marek Ertelt</cp:lastModifiedBy>
  <cp:revision>3</cp:revision>
  <dcterms:created xsi:type="dcterms:W3CDTF">2020-04-21T12:57:00Z</dcterms:created>
  <dcterms:modified xsi:type="dcterms:W3CDTF">2020-04-22T09:55:00Z</dcterms:modified>
</cp:coreProperties>
</file>