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7D" w:rsidRPr="000220A2" w:rsidRDefault="0065667D" w:rsidP="00247669">
      <w:pPr>
        <w:spacing w:line="240" w:lineRule="atLeast"/>
        <w:jc w:val="center"/>
        <w:rPr>
          <w:rFonts w:asciiTheme="minorHAnsi" w:eastAsia="Batang" w:hAnsiTheme="minorHAnsi"/>
          <w:b/>
          <w:caps/>
          <w:sz w:val="32"/>
          <w:szCs w:val="28"/>
        </w:rPr>
      </w:pPr>
      <w:r w:rsidRPr="000220A2">
        <w:rPr>
          <w:rFonts w:asciiTheme="minorHAnsi" w:eastAsia="Batang" w:hAnsiTheme="minorHAnsi"/>
          <w:b/>
          <w:caps/>
          <w:sz w:val="32"/>
          <w:szCs w:val="28"/>
        </w:rPr>
        <w:t>Investiční služby, Investiční nástroje a rizika s nimi související</w:t>
      </w:r>
    </w:p>
    <w:p w:rsidR="0065667D" w:rsidRPr="000220A2" w:rsidRDefault="0065667D" w:rsidP="00247669">
      <w:pPr>
        <w:jc w:val="center"/>
        <w:rPr>
          <w:rFonts w:asciiTheme="minorHAnsi" w:hAnsiTheme="minorHAnsi"/>
          <w:szCs w:val="22"/>
        </w:rPr>
      </w:pPr>
      <w:r w:rsidRPr="00380533">
        <w:rPr>
          <w:rFonts w:asciiTheme="minorHAnsi" w:hAnsiTheme="minorHAnsi"/>
          <w:szCs w:val="22"/>
        </w:rPr>
        <w:t>(</w:t>
      </w:r>
      <w:r w:rsidRPr="005608D0">
        <w:rPr>
          <w:rFonts w:ascii="Calibri" w:hAnsi="Calibri"/>
          <w:noProof/>
          <w:szCs w:val="18"/>
          <w:shd w:val="clear" w:color="auto" w:fill="FFFFFF"/>
        </w:rPr>
        <w:t>MM Optimal, s.r.o.</w:t>
      </w:r>
      <w:r w:rsidRPr="00380533">
        <w:rPr>
          <w:rFonts w:asciiTheme="minorHAnsi" w:hAnsiTheme="minorHAnsi"/>
          <w:szCs w:val="22"/>
          <w:shd w:val="clear" w:color="auto" w:fill="FFFFFF"/>
        </w:rPr>
        <w:t>)</w:t>
      </w:r>
    </w:p>
    <w:p w:rsidR="0065667D" w:rsidRDefault="0065667D" w:rsidP="00A112ED">
      <w:pPr>
        <w:jc w:val="both"/>
        <w:rPr>
          <w:rFonts w:asciiTheme="minorHAnsi" w:eastAsia="Batang" w:hAnsiTheme="minorHAnsi"/>
          <w:szCs w:val="20"/>
        </w:rPr>
      </w:pPr>
    </w:p>
    <w:p w:rsidR="0065667D" w:rsidRPr="000220A2" w:rsidRDefault="0065667D" w:rsidP="005C6210">
      <w:pPr>
        <w:spacing w:after="360" w:line="240" w:lineRule="atLeast"/>
        <w:jc w:val="both"/>
        <w:rPr>
          <w:rFonts w:asciiTheme="minorHAnsi" w:eastAsia="Batang" w:hAnsiTheme="minorHAnsi"/>
          <w:szCs w:val="18"/>
        </w:rPr>
      </w:pPr>
      <w:r w:rsidRPr="000220A2">
        <w:rPr>
          <w:rFonts w:asciiTheme="minorHAnsi" w:eastAsia="Batang" w:hAnsiTheme="minorHAnsi"/>
          <w:szCs w:val="18"/>
        </w:rPr>
        <w:t xml:space="preserve">Tento dokument je vytvořen </w:t>
      </w:r>
      <w:r w:rsidRPr="00380533">
        <w:rPr>
          <w:rFonts w:asciiTheme="minorHAnsi" w:eastAsia="Batang" w:hAnsiTheme="minorHAnsi"/>
          <w:szCs w:val="18"/>
        </w:rPr>
        <w:t xml:space="preserve">společností </w:t>
      </w:r>
      <w:r w:rsidRPr="005608D0">
        <w:rPr>
          <w:rFonts w:asciiTheme="minorHAnsi" w:hAnsiTheme="minorHAnsi"/>
          <w:noProof/>
          <w:szCs w:val="18"/>
          <w:shd w:val="clear" w:color="auto" w:fill="FFFFFF" w:themeFill="background1"/>
        </w:rPr>
        <w:t>MM Optimal, s.r.o.</w:t>
      </w:r>
      <w:r w:rsidRPr="00380533">
        <w:rPr>
          <w:rFonts w:asciiTheme="minorHAnsi" w:eastAsia="Batang" w:hAnsiTheme="minorHAnsi"/>
          <w:szCs w:val="18"/>
          <w:shd w:val="clear" w:color="auto" w:fill="FFFFFF" w:themeFill="background1"/>
        </w:rPr>
        <w:t xml:space="preserve"> (dále</w:t>
      </w:r>
      <w:r>
        <w:rPr>
          <w:rFonts w:asciiTheme="minorHAnsi" w:eastAsia="Batang" w:hAnsiTheme="minorHAnsi"/>
          <w:szCs w:val="18"/>
        </w:rPr>
        <w:t xml:space="preserve"> „Zprostředkovatel“ nebo „Společnost“) </w:t>
      </w:r>
      <w:r w:rsidRPr="000220A2">
        <w:rPr>
          <w:rFonts w:asciiTheme="minorHAnsi" w:eastAsia="Batang" w:hAnsiTheme="minorHAnsi"/>
          <w:szCs w:val="18"/>
        </w:rPr>
        <w:t xml:space="preserve">ve smyslu </w:t>
      </w:r>
      <w:proofErr w:type="spellStart"/>
      <w:r w:rsidRPr="000220A2">
        <w:rPr>
          <w:rFonts w:asciiTheme="minorHAnsi" w:eastAsia="Batang" w:hAnsiTheme="minorHAnsi"/>
          <w:szCs w:val="18"/>
        </w:rPr>
        <w:t>ust</w:t>
      </w:r>
      <w:proofErr w:type="spellEnd"/>
      <w:r w:rsidRPr="000220A2">
        <w:rPr>
          <w:rFonts w:asciiTheme="minorHAnsi" w:eastAsia="Batang" w:hAnsiTheme="minorHAnsi"/>
          <w:szCs w:val="18"/>
        </w:rPr>
        <w:t>. § 15d zákona č. 256/2004 Sb., o podnikání na kapitálovém trhu, ve znění pozdějších předpisů (dále jen „</w:t>
      </w:r>
      <w:r w:rsidRPr="000220A2">
        <w:rPr>
          <w:rFonts w:asciiTheme="minorHAnsi" w:eastAsia="Batang" w:hAnsiTheme="minorHAnsi"/>
          <w:b/>
          <w:szCs w:val="18"/>
        </w:rPr>
        <w:t>ZPKT</w:t>
      </w:r>
      <w:r w:rsidRPr="000220A2">
        <w:rPr>
          <w:rFonts w:asciiTheme="minorHAnsi" w:eastAsia="Batang" w:hAnsiTheme="minorHAnsi"/>
          <w:szCs w:val="18"/>
        </w:rPr>
        <w:t xml:space="preserve">“) a slouží k informování zákazníků o investičních službách, které Zprostředkovatel poskytuje, investičních </w:t>
      </w:r>
      <w:proofErr w:type="gramStart"/>
      <w:r w:rsidRPr="000220A2">
        <w:rPr>
          <w:rFonts w:asciiTheme="minorHAnsi" w:eastAsia="Batang" w:hAnsiTheme="minorHAnsi"/>
          <w:szCs w:val="18"/>
        </w:rPr>
        <w:t>nástrojích</w:t>
      </w:r>
      <w:proofErr w:type="gramEnd"/>
      <w:r w:rsidRPr="000220A2">
        <w:rPr>
          <w:rFonts w:asciiTheme="minorHAnsi" w:eastAsia="Batang" w:hAnsiTheme="minorHAnsi"/>
          <w:szCs w:val="18"/>
        </w:rPr>
        <w:t>, kterých se může investiční služba týkat</w:t>
      </w:r>
      <w:r>
        <w:rPr>
          <w:rFonts w:asciiTheme="minorHAnsi" w:eastAsia="Batang" w:hAnsiTheme="minorHAnsi"/>
          <w:szCs w:val="18"/>
        </w:rPr>
        <w:t xml:space="preserve"> a o navrhovaných strategiích pro investování</w:t>
      </w:r>
      <w:r w:rsidRPr="000220A2">
        <w:rPr>
          <w:rFonts w:asciiTheme="minorHAnsi" w:eastAsia="Batang" w:hAnsiTheme="minorHAnsi"/>
          <w:szCs w:val="18"/>
        </w:rPr>
        <w:t>, o možných rizicích, která mohou být s požadovanou investiční službou</w:t>
      </w:r>
      <w:r>
        <w:rPr>
          <w:rFonts w:asciiTheme="minorHAnsi" w:eastAsia="Batang" w:hAnsiTheme="minorHAnsi"/>
          <w:szCs w:val="18"/>
        </w:rPr>
        <w:t>,</w:t>
      </w:r>
      <w:r w:rsidRPr="000220A2">
        <w:rPr>
          <w:rFonts w:asciiTheme="minorHAnsi" w:eastAsia="Batang" w:hAnsiTheme="minorHAnsi"/>
          <w:szCs w:val="18"/>
        </w:rPr>
        <w:t xml:space="preserve"> investičním nástrojem</w:t>
      </w:r>
      <w:r>
        <w:rPr>
          <w:rFonts w:asciiTheme="minorHAnsi" w:eastAsia="Batang" w:hAnsiTheme="minorHAnsi"/>
          <w:szCs w:val="18"/>
        </w:rPr>
        <w:t xml:space="preserve"> nebo strategií</w:t>
      </w:r>
      <w:r w:rsidRPr="000220A2">
        <w:rPr>
          <w:rFonts w:asciiTheme="minorHAnsi" w:eastAsia="Batang" w:hAnsiTheme="minorHAnsi"/>
          <w:szCs w:val="18"/>
        </w:rPr>
        <w:t xml:space="preserve"> </w:t>
      </w:r>
      <w:proofErr w:type="spellStart"/>
      <w:r w:rsidRPr="000220A2">
        <w:rPr>
          <w:rFonts w:asciiTheme="minorHAnsi" w:eastAsia="Batang" w:hAnsiTheme="minorHAnsi"/>
          <w:szCs w:val="18"/>
        </w:rPr>
        <w:t>spojenaa</w:t>
      </w:r>
      <w:proofErr w:type="spellEnd"/>
      <w:r w:rsidRPr="000220A2">
        <w:rPr>
          <w:rFonts w:asciiTheme="minorHAnsi" w:eastAsia="Batang" w:hAnsiTheme="minorHAnsi"/>
          <w:szCs w:val="18"/>
        </w:rPr>
        <w:t xml:space="preserve"> o možných zajištěních proti nim,</w:t>
      </w:r>
      <w:r>
        <w:rPr>
          <w:rFonts w:asciiTheme="minorHAnsi" w:eastAsia="Batang" w:hAnsiTheme="minorHAnsi"/>
          <w:szCs w:val="18"/>
        </w:rPr>
        <w:t xml:space="preserve"> a o tom, zda je požadovaný investiční nástroj určen pro profesionální nebo neprofesionální zákazníky.</w:t>
      </w:r>
    </w:p>
    <w:p w:rsidR="0065667D" w:rsidRPr="000220A2" w:rsidRDefault="0065667D" w:rsidP="00A112ED">
      <w:pPr>
        <w:pStyle w:val="Nadpis1"/>
        <w:numPr>
          <w:ilvl w:val="0"/>
          <w:numId w:val="1"/>
        </w:numPr>
        <w:spacing w:before="0" w:after="360" w:line="240" w:lineRule="atLeast"/>
        <w:ind w:left="714" w:hanging="714"/>
        <w:rPr>
          <w:rFonts w:asciiTheme="minorHAnsi" w:eastAsia="Batang" w:hAnsiTheme="minorHAnsi"/>
          <w:sz w:val="22"/>
          <w:szCs w:val="22"/>
        </w:rPr>
      </w:pPr>
      <w:r w:rsidRPr="000220A2">
        <w:rPr>
          <w:rFonts w:asciiTheme="minorHAnsi" w:eastAsia="Batang" w:hAnsiTheme="minorHAnsi"/>
          <w:sz w:val="22"/>
          <w:szCs w:val="22"/>
        </w:rPr>
        <w:t xml:space="preserve">Investiční služby </w:t>
      </w:r>
    </w:p>
    <w:p w:rsidR="0065667D" w:rsidRPr="000220A2" w:rsidRDefault="0065667D" w:rsidP="00A112ED">
      <w:pPr>
        <w:spacing w:after="240"/>
        <w:rPr>
          <w:rFonts w:asciiTheme="minorHAnsi" w:eastAsia="Batang" w:hAnsiTheme="minorHAnsi"/>
          <w:szCs w:val="18"/>
        </w:rPr>
      </w:pPr>
      <w:r w:rsidRPr="000220A2">
        <w:rPr>
          <w:rFonts w:asciiTheme="minorHAnsi" w:eastAsia="Batang" w:hAnsiTheme="minorHAnsi"/>
          <w:szCs w:val="18"/>
        </w:rPr>
        <w:t xml:space="preserve">Zprostředkovatel je oprávněn </w:t>
      </w:r>
      <w:r>
        <w:rPr>
          <w:rFonts w:asciiTheme="minorHAnsi" w:eastAsia="Batang" w:hAnsiTheme="minorHAnsi"/>
          <w:szCs w:val="18"/>
        </w:rPr>
        <w:t xml:space="preserve">v souladu s oprávněním ČNB </w:t>
      </w:r>
      <w:r w:rsidRPr="000220A2">
        <w:rPr>
          <w:rFonts w:asciiTheme="minorHAnsi" w:eastAsia="Batang" w:hAnsiTheme="minorHAnsi"/>
          <w:szCs w:val="18"/>
        </w:rPr>
        <w:t>poskytovat následující investiční služby:</w:t>
      </w:r>
    </w:p>
    <w:p w:rsidR="0065667D" w:rsidRPr="000220A2" w:rsidRDefault="0065667D" w:rsidP="00A112ED">
      <w:pPr>
        <w:spacing w:after="120"/>
        <w:rPr>
          <w:rFonts w:asciiTheme="minorHAnsi" w:eastAsia="Batang" w:hAnsiTheme="minorHAnsi"/>
          <w:szCs w:val="18"/>
          <w:u w:val="single"/>
        </w:rPr>
      </w:pPr>
      <w:r w:rsidRPr="000220A2">
        <w:rPr>
          <w:rFonts w:asciiTheme="minorHAnsi" w:eastAsia="Batang" w:hAnsiTheme="minorHAnsi"/>
          <w:szCs w:val="18"/>
          <w:u w:val="single"/>
        </w:rPr>
        <w:t>(i) přijímání a předávání pokynů týkajících se investičních nástrojů</w:t>
      </w:r>
      <w:r>
        <w:rPr>
          <w:rFonts w:asciiTheme="minorHAnsi" w:eastAsia="Batang" w:hAnsiTheme="minorHAnsi"/>
          <w:szCs w:val="18"/>
          <w:u w:val="single"/>
        </w:rPr>
        <w:t xml:space="preserve"> (investiční zprostředkování)</w:t>
      </w:r>
      <w:r w:rsidRPr="000220A2">
        <w:rPr>
          <w:rFonts w:asciiTheme="minorHAnsi" w:eastAsia="Batang" w:hAnsiTheme="minorHAnsi"/>
          <w:szCs w:val="18"/>
          <w:u w:val="single"/>
        </w:rPr>
        <w:t>;</w:t>
      </w:r>
    </w:p>
    <w:p w:rsidR="0065667D" w:rsidRPr="000220A2" w:rsidRDefault="0065667D" w:rsidP="00A112ED">
      <w:pPr>
        <w:spacing w:after="120"/>
        <w:rPr>
          <w:rFonts w:asciiTheme="minorHAnsi" w:eastAsia="Batang" w:hAnsiTheme="minorHAnsi"/>
          <w:szCs w:val="18"/>
          <w:u w:val="single"/>
        </w:rPr>
      </w:pPr>
      <w:r w:rsidRPr="000220A2">
        <w:rPr>
          <w:rFonts w:asciiTheme="minorHAnsi" w:eastAsia="Batang" w:hAnsiTheme="minorHAnsi"/>
          <w:szCs w:val="18"/>
          <w:u w:val="single"/>
        </w:rPr>
        <w:t>(</w:t>
      </w:r>
      <w:proofErr w:type="spellStart"/>
      <w:r w:rsidRPr="000220A2">
        <w:rPr>
          <w:rFonts w:asciiTheme="minorHAnsi" w:eastAsia="Batang" w:hAnsiTheme="minorHAnsi"/>
          <w:szCs w:val="18"/>
          <w:u w:val="single"/>
        </w:rPr>
        <w:t>ii</w:t>
      </w:r>
      <w:proofErr w:type="spellEnd"/>
      <w:r w:rsidRPr="000220A2">
        <w:rPr>
          <w:rFonts w:asciiTheme="minorHAnsi" w:eastAsia="Batang" w:hAnsiTheme="minorHAnsi"/>
          <w:szCs w:val="18"/>
          <w:u w:val="single"/>
        </w:rPr>
        <w:t>) investiční poradenství týkající se investičních nástrojů.</w:t>
      </w:r>
    </w:p>
    <w:p w:rsidR="0065667D" w:rsidRPr="000220A2" w:rsidRDefault="0065667D" w:rsidP="00A112ED">
      <w:pPr>
        <w:spacing w:after="120"/>
        <w:rPr>
          <w:rFonts w:asciiTheme="minorHAnsi" w:eastAsia="Batang" w:hAnsiTheme="minorHAnsi"/>
          <w:szCs w:val="18"/>
        </w:rPr>
      </w:pPr>
    </w:p>
    <w:p w:rsidR="0065667D" w:rsidRDefault="0065667D" w:rsidP="004C611C">
      <w:pPr>
        <w:jc w:val="both"/>
        <w:rPr>
          <w:rFonts w:asciiTheme="minorHAnsi" w:eastAsia="Batang" w:hAnsiTheme="minorHAnsi"/>
          <w:szCs w:val="18"/>
        </w:rPr>
      </w:pPr>
      <w:r w:rsidRPr="000220A2">
        <w:rPr>
          <w:rFonts w:asciiTheme="minorHAnsi" w:eastAsia="Batang" w:hAnsiTheme="minorHAnsi"/>
          <w:szCs w:val="18"/>
        </w:rPr>
        <w:t>Výše uvedené investiční služby je Zprostředkovatel oprávněn poskytovat k</w:t>
      </w:r>
      <w:r>
        <w:rPr>
          <w:rFonts w:asciiTheme="minorHAnsi" w:eastAsia="Batang" w:hAnsiTheme="minorHAnsi"/>
          <w:szCs w:val="18"/>
        </w:rPr>
        <w:t> následujícím investičním nástrojům:</w:t>
      </w:r>
    </w:p>
    <w:p w:rsidR="0065667D" w:rsidRPr="0050228F" w:rsidRDefault="0065667D" w:rsidP="0050228F">
      <w:pPr>
        <w:pStyle w:val="Odstavecseseznamem"/>
        <w:numPr>
          <w:ilvl w:val="0"/>
          <w:numId w:val="18"/>
        </w:numPr>
        <w:ind w:left="284" w:hanging="284"/>
        <w:jc w:val="both"/>
        <w:rPr>
          <w:rFonts w:asciiTheme="minorHAnsi" w:eastAsia="Batang" w:hAnsiTheme="minorHAnsi"/>
          <w:szCs w:val="18"/>
        </w:rPr>
      </w:pPr>
      <w:r w:rsidRPr="0050228F">
        <w:rPr>
          <w:rFonts w:asciiTheme="minorHAnsi" w:eastAsia="Batang" w:hAnsiTheme="minorHAnsi"/>
          <w:szCs w:val="18"/>
        </w:rPr>
        <w:t>cenným papírům kolektivního investování vydávaným fondy kolektivního investování nebo srovnatelnými zahraničními investičními fondy,</w:t>
      </w:r>
    </w:p>
    <w:p w:rsidR="0065667D" w:rsidRPr="0050228F" w:rsidRDefault="0065667D" w:rsidP="0050228F">
      <w:pPr>
        <w:pStyle w:val="Odstavecseseznamem"/>
        <w:numPr>
          <w:ilvl w:val="0"/>
          <w:numId w:val="18"/>
        </w:numPr>
        <w:ind w:left="284" w:hanging="284"/>
        <w:jc w:val="both"/>
        <w:rPr>
          <w:rFonts w:asciiTheme="minorHAnsi" w:eastAsia="Batang" w:hAnsiTheme="minorHAnsi"/>
          <w:szCs w:val="18"/>
        </w:rPr>
      </w:pPr>
      <w:r w:rsidRPr="0050228F">
        <w:rPr>
          <w:rFonts w:asciiTheme="minorHAnsi" w:eastAsia="Batang" w:hAnsiTheme="minorHAnsi"/>
          <w:szCs w:val="18"/>
        </w:rPr>
        <w:t>cenným papírům kolektivního investování vydávaným fondy kvalifikovaných investorů nebo srovnatelnými zahraničními investičními fondy,</w:t>
      </w:r>
    </w:p>
    <w:p w:rsidR="0065667D" w:rsidRPr="0050228F" w:rsidRDefault="0065667D" w:rsidP="0050228F">
      <w:pPr>
        <w:pStyle w:val="Odstavecseseznamem"/>
        <w:numPr>
          <w:ilvl w:val="0"/>
          <w:numId w:val="18"/>
        </w:numPr>
        <w:ind w:left="284" w:hanging="284"/>
        <w:jc w:val="both"/>
        <w:rPr>
          <w:rFonts w:asciiTheme="minorHAnsi" w:eastAsia="Batang" w:hAnsiTheme="minorHAnsi"/>
          <w:szCs w:val="18"/>
        </w:rPr>
      </w:pPr>
      <w:r w:rsidRPr="0050228F">
        <w:rPr>
          <w:rFonts w:asciiTheme="minorHAnsi" w:eastAsia="Batang" w:hAnsiTheme="minorHAnsi"/>
          <w:szCs w:val="18"/>
        </w:rPr>
        <w:t>dluhopisům vydaným Českou republikou,</w:t>
      </w:r>
    </w:p>
    <w:p w:rsidR="0065667D" w:rsidRPr="0050228F" w:rsidRDefault="0065667D" w:rsidP="0050228F">
      <w:pPr>
        <w:pStyle w:val="Odstavecseseznamem"/>
        <w:numPr>
          <w:ilvl w:val="0"/>
          <w:numId w:val="18"/>
        </w:numPr>
        <w:ind w:left="284" w:hanging="284"/>
        <w:jc w:val="both"/>
        <w:rPr>
          <w:rFonts w:asciiTheme="minorHAnsi" w:eastAsia="Batang" w:hAnsiTheme="minorHAnsi"/>
          <w:szCs w:val="18"/>
        </w:rPr>
      </w:pPr>
      <w:r w:rsidRPr="0050228F">
        <w:rPr>
          <w:rFonts w:asciiTheme="minorHAnsi" w:eastAsia="Batang" w:hAnsiTheme="minorHAnsi"/>
          <w:szCs w:val="18"/>
        </w:rPr>
        <w:t>hypotečním zástavním listům, nebo</w:t>
      </w:r>
    </w:p>
    <w:p w:rsidR="0065667D" w:rsidRPr="0050228F" w:rsidRDefault="0065667D" w:rsidP="0050228F">
      <w:pPr>
        <w:pStyle w:val="Odstavecseseznamem"/>
        <w:numPr>
          <w:ilvl w:val="0"/>
          <w:numId w:val="18"/>
        </w:numPr>
        <w:ind w:left="284" w:hanging="284"/>
        <w:jc w:val="both"/>
        <w:rPr>
          <w:rFonts w:asciiTheme="minorHAnsi" w:eastAsia="Batang" w:hAnsiTheme="minorHAnsi"/>
          <w:szCs w:val="18"/>
        </w:rPr>
      </w:pPr>
      <w:r w:rsidRPr="0050228F">
        <w:rPr>
          <w:rFonts w:asciiTheme="minorHAnsi" w:eastAsia="Batang" w:hAnsiTheme="minorHAnsi"/>
          <w:szCs w:val="18"/>
        </w:rPr>
        <w:t>dluhopisům, ke kterým byl vydán prospekt nebo srovnatelný dokument.</w:t>
      </w:r>
    </w:p>
    <w:p w:rsidR="0065667D" w:rsidRPr="000220A2" w:rsidRDefault="0065667D" w:rsidP="00A112ED">
      <w:pPr>
        <w:spacing w:after="120"/>
        <w:rPr>
          <w:rFonts w:asciiTheme="minorHAnsi" w:eastAsia="Batang" w:hAnsiTheme="minorHAnsi"/>
          <w:szCs w:val="18"/>
        </w:rPr>
      </w:pPr>
    </w:p>
    <w:p w:rsidR="0065667D" w:rsidRDefault="0065667D" w:rsidP="00A14227">
      <w:pPr>
        <w:shd w:val="clear" w:color="auto" w:fill="FFFFFF" w:themeFill="background1"/>
        <w:spacing w:after="120"/>
        <w:jc w:val="both"/>
        <w:rPr>
          <w:rFonts w:asciiTheme="minorHAnsi" w:eastAsia="Batang" w:hAnsiTheme="minorHAnsi"/>
          <w:szCs w:val="18"/>
        </w:rPr>
      </w:pPr>
      <w:r w:rsidRPr="000220A2">
        <w:rPr>
          <w:rFonts w:asciiTheme="minorHAnsi" w:eastAsia="Batang" w:hAnsiTheme="minorHAnsi"/>
          <w:b/>
          <w:szCs w:val="18"/>
        </w:rPr>
        <w:t>Přijímáním a předáváním pokynů týkajících se investičních nástrojů</w:t>
      </w:r>
      <w:r w:rsidRPr="000220A2">
        <w:rPr>
          <w:rFonts w:asciiTheme="minorHAnsi" w:eastAsia="Batang" w:hAnsiTheme="minorHAnsi"/>
          <w:szCs w:val="18"/>
        </w:rPr>
        <w:t xml:space="preserve"> se v případě Zprostředkovatele rozumí </w:t>
      </w:r>
      <w:r>
        <w:rPr>
          <w:rFonts w:asciiTheme="minorHAnsi" w:eastAsia="Batang" w:hAnsiTheme="minorHAnsi"/>
          <w:szCs w:val="18"/>
        </w:rPr>
        <w:t xml:space="preserve">především </w:t>
      </w:r>
      <w:r w:rsidRPr="000220A2">
        <w:rPr>
          <w:rFonts w:asciiTheme="minorHAnsi" w:eastAsia="Batang" w:hAnsiTheme="minorHAnsi"/>
          <w:szCs w:val="18"/>
        </w:rPr>
        <w:t xml:space="preserve">zprostředkování uzavření smluv mezi zákazníkem a obchodníkem s cennými papíry, </w:t>
      </w:r>
      <w:r>
        <w:rPr>
          <w:rFonts w:asciiTheme="minorHAnsi" w:eastAsia="Batang" w:hAnsiTheme="minorHAnsi"/>
          <w:szCs w:val="18"/>
        </w:rPr>
        <w:t xml:space="preserve">bankou, </w:t>
      </w:r>
      <w:r w:rsidRPr="000220A2">
        <w:rPr>
          <w:rFonts w:asciiTheme="minorHAnsi" w:eastAsia="Batang" w:hAnsiTheme="minorHAnsi"/>
          <w:szCs w:val="18"/>
        </w:rPr>
        <w:t xml:space="preserve">investiční společností, případně </w:t>
      </w:r>
      <w:r>
        <w:rPr>
          <w:rFonts w:asciiTheme="minorHAnsi" w:eastAsia="Batang" w:hAnsiTheme="minorHAnsi"/>
          <w:szCs w:val="18"/>
        </w:rPr>
        <w:t>jiným obhospodařovatelem fondu kolektivního investování nebo srovnatelného zahraničního fondu nebo samosprávným fondem kolektivního investování</w:t>
      </w:r>
      <w:r w:rsidRPr="000220A2">
        <w:rPr>
          <w:rFonts w:asciiTheme="minorHAnsi" w:eastAsia="Batang" w:hAnsiTheme="minorHAnsi"/>
          <w:szCs w:val="18"/>
        </w:rPr>
        <w:t xml:space="preserve"> (dále jen „Finanční instituce“), jejichž předmětem je poskytování investiční služby „portfolio management“ (smlouva o obhospodařování) nebo nákup cenných papírů kolektivního investování nebo</w:t>
      </w:r>
      <w:r>
        <w:rPr>
          <w:rFonts w:asciiTheme="minorHAnsi" w:eastAsia="Batang" w:hAnsiTheme="minorHAnsi"/>
          <w:szCs w:val="18"/>
        </w:rPr>
        <w:t xml:space="preserve"> vybraných</w:t>
      </w:r>
      <w:r w:rsidRPr="000220A2">
        <w:rPr>
          <w:rFonts w:asciiTheme="minorHAnsi" w:eastAsia="Batang" w:hAnsiTheme="minorHAnsi"/>
          <w:szCs w:val="18"/>
        </w:rPr>
        <w:t xml:space="preserve"> investičních cenných papírů (smlouva o obstarání), případně zprostředkovávání navazujících pokynů k cenným papírům kolektivního investování nebo </w:t>
      </w:r>
      <w:r>
        <w:rPr>
          <w:rFonts w:asciiTheme="minorHAnsi" w:eastAsia="Batang" w:hAnsiTheme="minorHAnsi"/>
          <w:szCs w:val="18"/>
        </w:rPr>
        <w:t xml:space="preserve">vybraným </w:t>
      </w:r>
      <w:r w:rsidRPr="000220A2">
        <w:rPr>
          <w:rFonts w:asciiTheme="minorHAnsi" w:eastAsia="Batang" w:hAnsiTheme="minorHAnsi"/>
          <w:szCs w:val="18"/>
        </w:rPr>
        <w:t xml:space="preserve">investičním cenným papírům (nákup/prodej). </w:t>
      </w:r>
    </w:p>
    <w:p w:rsidR="0065667D" w:rsidRPr="00623AE4" w:rsidRDefault="0065667D" w:rsidP="00A14227">
      <w:pPr>
        <w:shd w:val="clear" w:color="auto" w:fill="FFFFFF" w:themeFill="background1"/>
        <w:spacing w:after="120"/>
        <w:jc w:val="both"/>
        <w:rPr>
          <w:rFonts w:asciiTheme="minorHAnsi" w:eastAsia="Batang" w:hAnsiTheme="minorHAnsi"/>
          <w:b/>
          <w:szCs w:val="18"/>
        </w:rPr>
      </w:pPr>
      <w:r w:rsidRPr="005608D0">
        <w:rPr>
          <w:rFonts w:asciiTheme="minorHAnsi" w:eastAsia="Batang" w:hAnsiTheme="minorHAnsi"/>
          <w:b/>
          <w:noProof/>
          <w:szCs w:val="18"/>
        </w:rPr>
        <w:t>Pokud není mezi zákazníkem a Zprostředkovatelem stanoveno písemně jinak, Zprostředkovatel neposkytuje službu investičního poradenství ve smyslu ust. § 4 odst. 2 písm. e) ZPKT, ale pouze službu investičního zprostředkování.</w:t>
      </w:r>
    </w:p>
    <w:p w:rsidR="0065667D" w:rsidRPr="00A14227" w:rsidRDefault="0065667D" w:rsidP="00A14227">
      <w:pPr>
        <w:shd w:val="clear" w:color="auto" w:fill="FFFFFF" w:themeFill="background1"/>
        <w:spacing w:after="120"/>
        <w:rPr>
          <w:rFonts w:asciiTheme="minorHAnsi" w:eastAsia="Batang" w:hAnsiTheme="minorHAnsi"/>
          <w:szCs w:val="18"/>
        </w:rPr>
      </w:pPr>
      <w:r w:rsidRPr="00A14227">
        <w:rPr>
          <w:rFonts w:asciiTheme="minorHAnsi" w:eastAsia="Batang" w:hAnsiTheme="minorHAnsi"/>
          <w:szCs w:val="18"/>
        </w:rPr>
        <w:t xml:space="preserve">Pokyny zákazníků může Zprostředkovatel předávat pouze: </w:t>
      </w:r>
    </w:p>
    <w:p w:rsidR="0065667D" w:rsidRPr="00A14227" w:rsidRDefault="0065667D" w:rsidP="00A14227">
      <w:pPr>
        <w:pStyle w:val="Odstavecseseznamem"/>
        <w:numPr>
          <w:ilvl w:val="0"/>
          <w:numId w:val="13"/>
        </w:numPr>
        <w:shd w:val="clear" w:color="auto" w:fill="FFFFFF" w:themeFill="background1"/>
        <w:spacing w:after="120"/>
        <w:jc w:val="both"/>
        <w:rPr>
          <w:rFonts w:asciiTheme="minorHAnsi" w:eastAsia="Batang" w:hAnsiTheme="minorHAnsi"/>
          <w:szCs w:val="18"/>
        </w:rPr>
      </w:pPr>
      <w:r w:rsidRPr="00A14227">
        <w:rPr>
          <w:rFonts w:asciiTheme="minorHAnsi" w:eastAsia="Batang" w:hAnsiTheme="minorHAnsi"/>
          <w:szCs w:val="18"/>
        </w:rPr>
        <w:t>tuzemské bance,</w:t>
      </w:r>
    </w:p>
    <w:p w:rsidR="0065667D" w:rsidRDefault="0065667D" w:rsidP="00911EF8">
      <w:pPr>
        <w:pStyle w:val="Odstavecseseznamem"/>
        <w:numPr>
          <w:ilvl w:val="0"/>
          <w:numId w:val="13"/>
        </w:numPr>
        <w:spacing w:after="120"/>
        <w:jc w:val="both"/>
        <w:rPr>
          <w:rFonts w:asciiTheme="minorHAnsi" w:eastAsia="Batang" w:hAnsiTheme="minorHAnsi"/>
          <w:szCs w:val="18"/>
        </w:rPr>
      </w:pPr>
      <w:r w:rsidRPr="00A14227">
        <w:rPr>
          <w:rFonts w:asciiTheme="minorHAnsi" w:eastAsia="Batang" w:hAnsiTheme="minorHAnsi"/>
          <w:szCs w:val="18"/>
        </w:rPr>
        <w:t>tuzemskému obchodníkovi s cennými</w:t>
      </w:r>
      <w:r w:rsidRPr="000220A2">
        <w:rPr>
          <w:rFonts w:asciiTheme="minorHAnsi" w:eastAsia="Batang" w:hAnsiTheme="minorHAnsi"/>
          <w:szCs w:val="18"/>
        </w:rPr>
        <w:t xml:space="preserve"> papíry,</w:t>
      </w:r>
    </w:p>
    <w:p w:rsidR="0065667D" w:rsidRDefault="0065667D" w:rsidP="00911EF8">
      <w:pPr>
        <w:pStyle w:val="Odstavecseseznamem"/>
        <w:numPr>
          <w:ilvl w:val="0"/>
          <w:numId w:val="13"/>
        </w:numPr>
        <w:spacing w:after="120"/>
        <w:jc w:val="both"/>
        <w:rPr>
          <w:rFonts w:asciiTheme="minorHAnsi" w:eastAsia="Batang" w:hAnsiTheme="minorHAnsi"/>
          <w:szCs w:val="18"/>
        </w:rPr>
      </w:pPr>
      <w:r>
        <w:rPr>
          <w:rFonts w:asciiTheme="minorHAnsi" w:eastAsia="Batang" w:hAnsiTheme="minorHAnsi"/>
          <w:szCs w:val="18"/>
        </w:rPr>
        <w:t xml:space="preserve">tuzemské </w:t>
      </w:r>
      <w:r w:rsidRPr="00132F4C">
        <w:rPr>
          <w:rFonts w:asciiTheme="minorHAnsi" w:eastAsia="Batang" w:hAnsiTheme="minorHAnsi"/>
          <w:szCs w:val="18"/>
        </w:rPr>
        <w:t xml:space="preserve">investiční společnosti, </w:t>
      </w:r>
    </w:p>
    <w:p w:rsidR="0065667D" w:rsidRDefault="0065667D" w:rsidP="00911EF8">
      <w:pPr>
        <w:pStyle w:val="Odstavecseseznamem"/>
        <w:numPr>
          <w:ilvl w:val="0"/>
          <w:numId w:val="13"/>
        </w:numPr>
        <w:spacing w:after="120"/>
        <w:jc w:val="both"/>
        <w:rPr>
          <w:rFonts w:asciiTheme="minorHAnsi" w:eastAsia="Batang" w:hAnsiTheme="minorHAnsi"/>
          <w:szCs w:val="18"/>
        </w:rPr>
      </w:pPr>
      <w:r w:rsidRPr="00132F4C">
        <w:rPr>
          <w:rFonts w:asciiTheme="minorHAnsi" w:eastAsia="Batang" w:hAnsiTheme="minorHAnsi"/>
          <w:szCs w:val="18"/>
        </w:rPr>
        <w:t xml:space="preserve">obhospodařovateli fondu kolektivního investování nebo srovnatelného zahraničního investičního fondu, který tento fond obhospodařuje na základě povolení České národní banky, nebo </w:t>
      </w:r>
    </w:p>
    <w:p w:rsidR="0065667D" w:rsidRPr="000220A2" w:rsidRDefault="0065667D" w:rsidP="00911EF8">
      <w:pPr>
        <w:pStyle w:val="Odstavecseseznamem"/>
        <w:numPr>
          <w:ilvl w:val="0"/>
          <w:numId w:val="13"/>
        </w:numPr>
        <w:spacing w:after="120"/>
        <w:jc w:val="both"/>
        <w:rPr>
          <w:rFonts w:asciiTheme="minorHAnsi" w:eastAsia="Batang" w:hAnsiTheme="minorHAnsi"/>
          <w:szCs w:val="18"/>
        </w:rPr>
      </w:pPr>
      <w:r>
        <w:rPr>
          <w:rFonts w:asciiTheme="minorHAnsi" w:eastAsia="Batang" w:hAnsiTheme="minorHAnsi"/>
          <w:szCs w:val="18"/>
        </w:rPr>
        <w:t xml:space="preserve">tuzemskému </w:t>
      </w:r>
      <w:r w:rsidRPr="00132F4C">
        <w:rPr>
          <w:rFonts w:asciiTheme="minorHAnsi" w:eastAsia="Batang" w:hAnsiTheme="minorHAnsi"/>
          <w:szCs w:val="18"/>
        </w:rPr>
        <w:t>samosprávnému fondu kolektivního investování</w:t>
      </w:r>
      <w:r>
        <w:rPr>
          <w:rFonts w:asciiTheme="minorHAnsi" w:eastAsia="Batang" w:hAnsiTheme="minorHAnsi"/>
          <w:szCs w:val="18"/>
        </w:rPr>
        <w:t>.</w:t>
      </w:r>
    </w:p>
    <w:p w:rsidR="0065667D" w:rsidRDefault="0065667D" w:rsidP="00A14227">
      <w:pPr>
        <w:shd w:val="clear" w:color="auto" w:fill="FFFFFF" w:themeFill="background1"/>
        <w:spacing w:after="120"/>
        <w:jc w:val="both"/>
        <w:rPr>
          <w:rFonts w:asciiTheme="minorHAnsi" w:eastAsia="Batang" w:hAnsiTheme="minorHAnsi"/>
          <w:szCs w:val="18"/>
        </w:rPr>
      </w:pPr>
      <w:r w:rsidRPr="000220A2">
        <w:rPr>
          <w:rFonts w:asciiTheme="minorHAnsi" w:eastAsia="Batang" w:hAnsiTheme="minorHAnsi"/>
          <w:b/>
          <w:szCs w:val="18"/>
        </w:rPr>
        <w:t>Investičním poradenstvím týkajícím se investičních nástrojů</w:t>
      </w:r>
      <w:r w:rsidRPr="000220A2">
        <w:rPr>
          <w:rFonts w:asciiTheme="minorHAnsi" w:eastAsia="Batang" w:hAnsiTheme="minorHAnsi"/>
          <w:szCs w:val="18"/>
        </w:rPr>
        <w:t xml:space="preserve"> se rozumí poskytování </w:t>
      </w:r>
      <w:r w:rsidRPr="00132F4C">
        <w:rPr>
          <w:rFonts w:asciiTheme="minorHAnsi" w:eastAsia="Batang" w:hAnsiTheme="minorHAnsi"/>
          <w:szCs w:val="18"/>
        </w:rPr>
        <w:t>individualizovaného doporučení zákazníkovi ohledně obchodu s konkrétním investičním nástrojem, a to bez ohledu na to, zda je poskytováno z podnětu zákazníka nebo potenciálního zákazníka</w:t>
      </w:r>
      <w:r>
        <w:rPr>
          <w:rFonts w:asciiTheme="minorHAnsi" w:eastAsia="Batang" w:hAnsiTheme="minorHAnsi"/>
          <w:szCs w:val="18"/>
        </w:rPr>
        <w:t xml:space="preserve"> nebo Zprostředkovatele.</w:t>
      </w:r>
    </w:p>
    <w:p w:rsidR="0065667D" w:rsidRPr="000220A2" w:rsidRDefault="0065667D" w:rsidP="00A112ED">
      <w:pPr>
        <w:pStyle w:val="Nadpis1"/>
        <w:numPr>
          <w:ilvl w:val="0"/>
          <w:numId w:val="1"/>
        </w:numPr>
        <w:spacing w:before="0" w:after="360" w:line="240" w:lineRule="atLeast"/>
        <w:ind w:left="714" w:hanging="714"/>
        <w:rPr>
          <w:rFonts w:asciiTheme="minorHAnsi" w:eastAsia="Batang" w:hAnsiTheme="minorHAnsi"/>
          <w:sz w:val="22"/>
          <w:szCs w:val="22"/>
        </w:rPr>
      </w:pPr>
      <w:r w:rsidRPr="000220A2">
        <w:rPr>
          <w:rFonts w:asciiTheme="minorHAnsi" w:eastAsia="Batang" w:hAnsiTheme="minorHAnsi"/>
          <w:sz w:val="22"/>
          <w:szCs w:val="22"/>
        </w:rPr>
        <w:t>Investiční nástroje</w:t>
      </w:r>
    </w:p>
    <w:p w:rsidR="0065667D" w:rsidRPr="000220A2" w:rsidRDefault="0065667D" w:rsidP="00A112ED">
      <w:pPr>
        <w:pStyle w:val="Nadpis21"/>
        <w:numPr>
          <w:ilvl w:val="1"/>
          <w:numId w:val="1"/>
        </w:numPr>
        <w:spacing w:after="240" w:line="240" w:lineRule="atLeast"/>
        <w:ind w:left="714" w:hanging="714"/>
        <w:rPr>
          <w:rFonts w:asciiTheme="minorHAnsi" w:eastAsia="Batang" w:hAnsiTheme="minorHAnsi"/>
          <w:sz w:val="20"/>
          <w:szCs w:val="20"/>
        </w:rPr>
      </w:pPr>
      <w:r w:rsidRPr="000220A2">
        <w:rPr>
          <w:rFonts w:asciiTheme="minorHAnsi" w:eastAsia="Batang" w:hAnsiTheme="minorHAnsi"/>
          <w:sz w:val="20"/>
          <w:szCs w:val="20"/>
        </w:rPr>
        <w:t>Obecně o investičních nástrojích</w:t>
      </w:r>
    </w:p>
    <w:p w:rsidR="0065667D" w:rsidRPr="000220A2" w:rsidRDefault="0065667D" w:rsidP="00A112ED">
      <w:pPr>
        <w:pStyle w:val="Nadpis21"/>
        <w:numPr>
          <w:ilvl w:val="2"/>
          <w:numId w:val="1"/>
        </w:numPr>
        <w:spacing w:after="120" w:line="240" w:lineRule="atLeast"/>
        <w:ind w:left="714" w:hanging="714"/>
        <w:jc w:val="both"/>
        <w:rPr>
          <w:rFonts w:asciiTheme="minorHAnsi" w:eastAsia="Batang" w:hAnsiTheme="minorHAnsi"/>
          <w:b w:val="0"/>
          <w:sz w:val="18"/>
          <w:szCs w:val="18"/>
        </w:rPr>
      </w:pPr>
      <w:r w:rsidRPr="000220A2">
        <w:rPr>
          <w:rFonts w:asciiTheme="minorHAnsi" w:eastAsia="Batang" w:hAnsiTheme="minorHAnsi"/>
          <w:b w:val="0"/>
          <w:sz w:val="18"/>
          <w:szCs w:val="18"/>
        </w:rPr>
        <w:lastRenderedPageBreak/>
        <w:t>Zprostředkovatel ve smyslu ustanovení § 3 ZPKT rozlišuje následující druhy investičních nástrojů</w:t>
      </w:r>
      <w:r w:rsidRPr="000220A2">
        <w:rPr>
          <w:rStyle w:val="Znakapoznpodarou"/>
          <w:rFonts w:asciiTheme="minorHAnsi" w:eastAsia="Batang" w:hAnsiTheme="minorHAnsi"/>
          <w:b w:val="0"/>
          <w:sz w:val="18"/>
          <w:szCs w:val="18"/>
        </w:rPr>
        <w:footnoteReference w:id="2"/>
      </w:r>
    </w:p>
    <w:p w:rsidR="0065667D" w:rsidRPr="000220A2" w:rsidRDefault="0065667D" w:rsidP="00A112ED">
      <w:pPr>
        <w:pStyle w:val="Nadpis21"/>
        <w:numPr>
          <w:ilvl w:val="0"/>
          <w:numId w:val="2"/>
        </w:numPr>
        <w:spacing w:after="120" w:line="240" w:lineRule="atLeast"/>
        <w:ind w:left="1071" w:hanging="357"/>
        <w:jc w:val="both"/>
        <w:rPr>
          <w:rFonts w:asciiTheme="minorHAnsi" w:eastAsia="Batang" w:hAnsiTheme="minorHAnsi"/>
          <w:b w:val="0"/>
          <w:sz w:val="18"/>
          <w:szCs w:val="18"/>
        </w:rPr>
      </w:pPr>
      <w:r w:rsidRPr="000220A2">
        <w:rPr>
          <w:rFonts w:asciiTheme="minorHAnsi" w:eastAsia="Batang" w:hAnsiTheme="minorHAnsi"/>
          <w:sz w:val="18"/>
          <w:szCs w:val="18"/>
          <w:u w:val="single"/>
        </w:rPr>
        <w:t>investiční cenné papíry</w:t>
      </w:r>
      <w:r w:rsidRPr="000220A2">
        <w:rPr>
          <w:rFonts w:asciiTheme="minorHAnsi" w:eastAsia="Batang" w:hAnsiTheme="minorHAnsi"/>
          <w:b w:val="0"/>
          <w:sz w:val="18"/>
          <w:szCs w:val="18"/>
        </w:rPr>
        <w:t xml:space="preserve"> – cenné papíry obchodovatelné na kapitálovém trhu</w:t>
      </w:r>
      <w:r>
        <w:rPr>
          <w:rFonts w:asciiTheme="minorHAnsi" w:eastAsia="Batang" w:hAnsiTheme="minorHAnsi"/>
          <w:b w:val="0"/>
          <w:sz w:val="18"/>
          <w:szCs w:val="18"/>
        </w:rPr>
        <w:t>, v případě Zprostředkovatele se jedná o</w:t>
      </w:r>
      <w:r w:rsidRPr="000220A2">
        <w:rPr>
          <w:rFonts w:asciiTheme="minorHAnsi" w:eastAsia="Batang" w:hAnsiTheme="minorHAnsi"/>
          <w:b w:val="0"/>
          <w:sz w:val="18"/>
          <w:szCs w:val="18"/>
        </w:rPr>
        <w:t xml:space="preserve">: </w:t>
      </w:r>
    </w:p>
    <w:p w:rsidR="0065667D" w:rsidRDefault="0065667D" w:rsidP="00A112ED">
      <w:pPr>
        <w:pStyle w:val="Nadpis21"/>
        <w:numPr>
          <w:ilvl w:val="1"/>
          <w:numId w:val="2"/>
        </w:numPr>
        <w:spacing w:after="120" w:line="240" w:lineRule="atLeast"/>
        <w:ind w:left="1429" w:hanging="357"/>
        <w:jc w:val="both"/>
        <w:rPr>
          <w:rFonts w:asciiTheme="minorHAnsi" w:eastAsia="Batang" w:hAnsiTheme="minorHAnsi"/>
          <w:b w:val="0"/>
          <w:sz w:val="18"/>
          <w:szCs w:val="18"/>
        </w:rPr>
      </w:pPr>
      <w:r w:rsidRPr="000220A2">
        <w:rPr>
          <w:rFonts w:asciiTheme="minorHAnsi" w:eastAsia="Batang" w:hAnsiTheme="minorHAnsi"/>
          <w:b w:val="0"/>
          <w:sz w:val="18"/>
          <w:szCs w:val="18"/>
        </w:rPr>
        <w:t>dluhopisy nebo obdobné cenné papíry představující právo na splacení dlužné částky</w:t>
      </w:r>
      <w:r>
        <w:rPr>
          <w:rFonts w:asciiTheme="minorHAnsi" w:eastAsia="Batang" w:hAnsiTheme="minorHAnsi"/>
          <w:b w:val="0"/>
          <w:sz w:val="18"/>
          <w:szCs w:val="18"/>
        </w:rPr>
        <w:t>, konkrétně</w:t>
      </w:r>
    </w:p>
    <w:p w:rsidR="0065667D" w:rsidRDefault="0065667D" w:rsidP="00985F74">
      <w:pPr>
        <w:pStyle w:val="Nadpis21"/>
        <w:numPr>
          <w:ilvl w:val="2"/>
          <w:numId w:val="2"/>
        </w:numPr>
        <w:spacing w:after="120" w:line="240" w:lineRule="atLeast"/>
        <w:jc w:val="both"/>
        <w:rPr>
          <w:rFonts w:asciiTheme="minorHAnsi" w:eastAsia="Batang" w:hAnsiTheme="minorHAnsi"/>
          <w:b w:val="0"/>
          <w:sz w:val="18"/>
          <w:szCs w:val="18"/>
        </w:rPr>
      </w:pPr>
      <w:r>
        <w:rPr>
          <w:rFonts w:asciiTheme="minorHAnsi" w:eastAsia="Batang" w:hAnsiTheme="minorHAnsi"/>
          <w:b w:val="0"/>
          <w:sz w:val="18"/>
          <w:szCs w:val="18"/>
        </w:rPr>
        <w:t>dluhopisy vydané Českou republikou,</w:t>
      </w:r>
    </w:p>
    <w:p w:rsidR="0065667D" w:rsidRDefault="0065667D" w:rsidP="00985F74">
      <w:pPr>
        <w:pStyle w:val="Nadpis21"/>
        <w:numPr>
          <w:ilvl w:val="2"/>
          <w:numId w:val="2"/>
        </w:numPr>
        <w:spacing w:after="120" w:line="240" w:lineRule="atLeast"/>
        <w:jc w:val="both"/>
        <w:rPr>
          <w:rFonts w:asciiTheme="minorHAnsi" w:eastAsia="Batang" w:hAnsiTheme="minorHAnsi"/>
          <w:b w:val="0"/>
          <w:sz w:val="18"/>
          <w:szCs w:val="18"/>
        </w:rPr>
      </w:pPr>
      <w:r>
        <w:rPr>
          <w:rFonts w:asciiTheme="minorHAnsi" w:eastAsia="Batang" w:hAnsiTheme="minorHAnsi"/>
          <w:b w:val="0"/>
          <w:sz w:val="18"/>
          <w:szCs w:val="18"/>
        </w:rPr>
        <w:t>hypoteční zástavní listy,</w:t>
      </w:r>
    </w:p>
    <w:p w:rsidR="0065667D" w:rsidRDefault="0065667D" w:rsidP="00985F74">
      <w:pPr>
        <w:pStyle w:val="Nadpis21"/>
        <w:numPr>
          <w:ilvl w:val="2"/>
          <w:numId w:val="2"/>
        </w:numPr>
        <w:spacing w:after="120" w:line="240" w:lineRule="atLeast"/>
        <w:jc w:val="both"/>
        <w:rPr>
          <w:rFonts w:asciiTheme="minorHAnsi" w:eastAsia="Batang" w:hAnsiTheme="minorHAnsi"/>
          <w:b w:val="0"/>
          <w:sz w:val="18"/>
          <w:szCs w:val="18"/>
        </w:rPr>
      </w:pPr>
      <w:r w:rsidRPr="0045597F">
        <w:rPr>
          <w:rFonts w:asciiTheme="minorHAnsi" w:eastAsia="Batang" w:hAnsiTheme="minorHAnsi"/>
          <w:b w:val="0"/>
          <w:sz w:val="18"/>
          <w:szCs w:val="18"/>
        </w:rPr>
        <w:t>dluhopis</w:t>
      </w:r>
      <w:r>
        <w:rPr>
          <w:rFonts w:asciiTheme="minorHAnsi" w:eastAsia="Batang" w:hAnsiTheme="minorHAnsi"/>
          <w:b w:val="0"/>
          <w:sz w:val="18"/>
          <w:szCs w:val="18"/>
        </w:rPr>
        <w:t>y</w:t>
      </w:r>
      <w:r w:rsidRPr="0045597F">
        <w:rPr>
          <w:rFonts w:asciiTheme="minorHAnsi" w:eastAsia="Batang" w:hAnsiTheme="minorHAnsi"/>
          <w:b w:val="0"/>
          <w:sz w:val="18"/>
          <w:szCs w:val="18"/>
        </w:rPr>
        <w:t>, ke kterým byl vydán prospekt nebo srovnatelný dokument</w:t>
      </w:r>
      <w:r>
        <w:rPr>
          <w:rFonts w:asciiTheme="minorHAnsi" w:eastAsia="Batang" w:hAnsiTheme="minorHAnsi"/>
          <w:b w:val="0"/>
          <w:sz w:val="18"/>
          <w:szCs w:val="18"/>
        </w:rPr>
        <w:t>.</w:t>
      </w:r>
    </w:p>
    <w:p w:rsidR="0065667D" w:rsidRPr="000220A2" w:rsidRDefault="0065667D" w:rsidP="00BE3369">
      <w:pPr>
        <w:pStyle w:val="Nadpis21"/>
        <w:spacing w:after="120" w:line="240" w:lineRule="atLeast"/>
        <w:ind w:left="1429"/>
        <w:jc w:val="both"/>
        <w:rPr>
          <w:rFonts w:asciiTheme="minorHAnsi" w:eastAsia="Batang" w:hAnsiTheme="minorHAnsi"/>
          <w:b w:val="0"/>
          <w:sz w:val="18"/>
          <w:szCs w:val="18"/>
        </w:rPr>
      </w:pPr>
    </w:p>
    <w:p w:rsidR="0065667D" w:rsidRPr="000220A2" w:rsidRDefault="0065667D" w:rsidP="00A112ED">
      <w:pPr>
        <w:pStyle w:val="Nadpis21"/>
        <w:numPr>
          <w:ilvl w:val="0"/>
          <w:numId w:val="2"/>
        </w:numPr>
        <w:spacing w:after="120" w:line="240" w:lineRule="atLeast"/>
        <w:ind w:left="1071" w:hanging="357"/>
        <w:jc w:val="both"/>
        <w:rPr>
          <w:rFonts w:asciiTheme="minorHAnsi" w:eastAsia="Batang" w:hAnsiTheme="minorHAnsi"/>
          <w:b w:val="0"/>
          <w:sz w:val="18"/>
          <w:szCs w:val="18"/>
          <w:u w:val="single"/>
        </w:rPr>
      </w:pPr>
      <w:r w:rsidRPr="000220A2">
        <w:rPr>
          <w:rFonts w:asciiTheme="minorHAnsi" w:eastAsia="Batang" w:hAnsiTheme="minorHAnsi"/>
          <w:sz w:val="18"/>
          <w:szCs w:val="18"/>
          <w:u w:val="single"/>
        </w:rPr>
        <w:t>cenné papíry kolektivního investování</w:t>
      </w:r>
      <w:r w:rsidRPr="000220A2">
        <w:rPr>
          <w:rFonts w:asciiTheme="minorHAnsi" w:eastAsia="Batang" w:hAnsiTheme="minorHAnsi"/>
          <w:b w:val="0"/>
          <w:sz w:val="18"/>
          <w:szCs w:val="18"/>
        </w:rPr>
        <w:t xml:space="preserve"> – </w:t>
      </w:r>
      <w:r>
        <w:rPr>
          <w:rFonts w:asciiTheme="minorHAnsi" w:eastAsia="Batang" w:hAnsiTheme="minorHAnsi"/>
          <w:b w:val="0"/>
          <w:sz w:val="18"/>
          <w:szCs w:val="18"/>
        </w:rPr>
        <w:t xml:space="preserve">cenné papíry </w:t>
      </w:r>
      <w:r w:rsidRPr="00EE2796">
        <w:rPr>
          <w:rFonts w:asciiTheme="minorHAnsi" w:eastAsia="Batang" w:hAnsiTheme="minorHAnsi"/>
          <w:b w:val="0"/>
          <w:sz w:val="18"/>
          <w:szCs w:val="18"/>
        </w:rPr>
        <w:t>představující podíl na investičních fondech nebo zahraničních investičních fondech</w:t>
      </w:r>
      <w:r>
        <w:rPr>
          <w:rFonts w:asciiTheme="minorHAnsi" w:eastAsia="Batang" w:hAnsiTheme="minorHAnsi"/>
          <w:b w:val="0"/>
          <w:sz w:val="18"/>
          <w:szCs w:val="18"/>
        </w:rPr>
        <w:t xml:space="preserve"> (fondech kolektivního investování, fondech kvalifikovaných investorů nebo srovnatelných zahraničních fondech), v případě Zprostředkovatele se jedná zejména o</w:t>
      </w:r>
      <w:r w:rsidRPr="000220A2">
        <w:rPr>
          <w:rFonts w:asciiTheme="minorHAnsi" w:eastAsia="Batang" w:hAnsiTheme="minorHAnsi"/>
          <w:b w:val="0"/>
          <w:sz w:val="18"/>
          <w:szCs w:val="18"/>
        </w:rPr>
        <w:t>:</w:t>
      </w:r>
    </w:p>
    <w:p w:rsidR="0065667D" w:rsidRPr="00EE2796" w:rsidRDefault="0065667D" w:rsidP="00EE2796">
      <w:pPr>
        <w:pStyle w:val="Nadpis21"/>
        <w:numPr>
          <w:ilvl w:val="1"/>
          <w:numId w:val="2"/>
        </w:numPr>
        <w:spacing w:after="120" w:line="240" w:lineRule="atLeast"/>
        <w:jc w:val="both"/>
        <w:rPr>
          <w:rFonts w:asciiTheme="minorHAnsi" w:eastAsia="Batang" w:hAnsiTheme="minorHAnsi"/>
          <w:b w:val="0"/>
          <w:sz w:val="18"/>
          <w:szCs w:val="18"/>
        </w:rPr>
      </w:pPr>
      <w:r w:rsidRPr="00EE2796">
        <w:rPr>
          <w:rFonts w:asciiTheme="minorHAnsi" w:eastAsia="Batang" w:hAnsiTheme="minorHAnsi"/>
          <w:b w:val="0"/>
          <w:sz w:val="18"/>
          <w:szCs w:val="18"/>
        </w:rPr>
        <w:t>podílové listy,</w:t>
      </w:r>
    </w:p>
    <w:p w:rsidR="0065667D" w:rsidRPr="002D0EE7" w:rsidRDefault="0065667D" w:rsidP="00A112ED">
      <w:pPr>
        <w:pStyle w:val="Nadpis21"/>
        <w:numPr>
          <w:ilvl w:val="1"/>
          <w:numId w:val="2"/>
        </w:numPr>
        <w:spacing w:after="120" w:line="240" w:lineRule="atLeast"/>
        <w:ind w:left="1429" w:hanging="357"/>
        <w:jc w:val="both"/>
        <w:rPr>
          <w:rFonts w:asciiTheme="minorHAnsi" w:eastAsia="Batang" w:hAnsiTheme="minorHAnsi"/>
          <w:b w:val="0"/>
          <w:sz w:val="18"/>
          <w:szCs w:val="18"/>
          <w:u w:val="single"/>
        </w:rPr>
      </w:pPr>
      <w:r w:rsidRPr="000220A2">
        <w:rPr>
          <w:rFonts w:asciiTheme="minorHAnsi" w:eastAsia="Batang" w:hAnsiTheme="minorHAnsi"/>
          <w:b w:val="0"/>
          <w:sz w:val="18"/>
          <w:szCs w:val="18"/>
        </w:rPr>
        <w:t>akcie investičního fondu,</w:t>
      </w:r>
      <w:r>
        <w:rPr>
          <w:rFonts w:asciiTheme="minorHAnsi" w:eastAsia="Batang" w:hAnsiTheme="minorHAnsi"/>
          <w:b w:val="0"/>
          <w:sz w:val="18"/>
          <w:szCs w:val="18"/>
        </w:rPr>
        <w:t xml:space="preserve"> včetně investičních akcií,</w:t>
      </w:r>
    </w:p>
    <w:p w:rsidR="0065667D" w:rsidRDefault="0065667D" w:rsidP="00A112ED">
      <w:pPr>
        <w:pStyle w:val="Nadpis21"/>
        <w:numPr>
          <w:ilvl w:val="1"/>
          <w:numId w:val="2"/>
        </w:numPr>
        <w:spacing w:after="120" w:line="240" w:lineRule="atLeast"/>
        <w:ind w:left="1429" w:hanging="357"/>
        <w:jc w:val="both"/>
        <w:rPr>
          <w:rFonts w:asciiTheme="minorHAnsi" w:eastAsia="Batang" w:hAnsiTheme="minorHAnsi"/>
          <w:b w:val="0"/>
          <w:sz w:val="18"/>
          <w:szCs w:val="18"/>
        </w:rPr>
      </w:pPr>
      <w:r w:rsidRPr="0050228F">
        <w:rPr>
          <w:rFonts w:asciiTheme="minorHAnsi" w:eastAsia="Batang" w:hAnsiTheme="minorHAnsi"/>
          <w:b w:val="0"/>
          <w:sz w:val="18"/>
          <w:szCs w:val="18"/>
        </w:rPr>
        <w:t>podíly na fondu kvalifikovaných investorů ve formě jiného cenného papíru.</w:t>
      </w:r>
      <w:r w:rsidR="001777E1" w:rsidRPr="001777E1">
        <w:rPr>
          <w:rFonts w:cs="Arial"/>
          <w:color w:val="000000"/>
          <w:sz w:val="20"/>
          <w:szCs w:val="20"/>
        </w:rPr>
        <w:t xml:space="preserve"> </w:t>
      </w:r>
    </w:p>
    <w:p w:rsidR="0065667D" w:rsidRPr="0050228F" w:rsidRDefault="0065667D" w:rsidP="00A65D2C">
      <w:pPr>
        <w:pStyle w:val="Nadpis21"/>
        <w:spacing w:after="120" w:line="240" w:lineRule="atLeast"/>
        <w:ind w:left="1429"/>
        <w:jc w:val="both"/>
        <w:rPr>
          <w:rFonts w:asciiTheme="minorHAnsi" w:eastAsia="Batang" w:hAnsiTheme="minorHAnsi"/>
          <w:b w:val="0"/>
          <w:sz w:val="18"/>
          <w:szCs w:val="18"/>
        </w:rPr>
      </w:pPr>
    </w:p>
    <w:p w:rsidR="0065667D" w:rsidRPr="00A65D2C" w:rsidRDefault="0065667D" w:rsidP="00A65D2C">
      <w:pPr>
        <w:pStyle w:val="Nadpis21"/>
        <w:numPr>
          <w:ilvl w:val="2"/>
          <w:numId w:val="1"/>
        </w:numPr>
        <w:autoSpaceDE w:val="0"/>
        <w:autoSpaceDN w:val="0"/>
        <w:adjustRightInd w:val="0"/>
        <w:spacing w:after="120" w:line="240" w:lineRule="auto"/>
        <w:ind w:left="714" w:hanging="714"/>
        <w:jc w:val="both"/>
        <w:rPr>
          <w:rFonts w:asciiTheme="minorHAnsi" w:eastAsiaTheme="minorHAnsi" w:hAnsiTheme="minorHAnsi" w:cs="Arial,Bold"/>
          <w:b w:val="0"/>
          <w:bCs/>
          <w:sz w:val="18"/>
          <w:szCs w:val="20"/>
          <w:lang w:eastAsia="en-US"/>
        </w:rPr>
      </w:pPr>
      <w:r w:rsidRPr="00A65D2C">
        <w:rPr>
          <w:rFonts w:asciiTheme="minorHAnsi" w:eastAsia="Batang" w:hAnsiTheme="minorHAnsi"/>
          <w:b w:val="0"/>
          <w:sz w:val="18"/>
          <w:szCs w:val="20"/>
        </w:rPr>
        <w:t>Zvláštním typem cenn</w:t>
      </w:r>
      <w:r>
        <w:rPr>
          <w:rFonts w:asciiTheme="minorHAnsi" w:eastAsia="Batang" w:hAnsiTheme="minorHAnsi"/>
          <w:b w:val="0"/>
          <w:sz w:val="18"/>
          <w:szCs w:val="20"/>
        </w:rPr>
        <w:t>ého</w:t>
      </w:r>
      <w:r w:rsidRPr="00A65D2C">
        <w:rPr>
          <w:rFonts w:asciiTheme="minorHAnsi" w:eastAsia="Batang" w:hAnsiTheme="minorHAnsi"/>
          <w:b w:val="0"/>
          <w:sz w:val="18"/>
          <w:szCs w:val="20"/>
        </w:rPr>
        <w:t xml:space="preserve"> papír</w:t>
      </w:r>
      <w:r>
        <w:rPr>
          <w:rFonts w:asciiTheme="minorHAnsi" w:eastAsia="Batang" w:hAnsiTheme="minorHAnsi"/>
          <w:b w:val="0"/>
          <w:sz w:val="18"/>
          <w:szCs w:val="20"/>
        </w:rPr>
        <w:t>u kolektivního investování je</w:t>
      </w:r>
      <w:r w:rsidRPr="00A65D2C">
        <w:rPr>
          <w:rFonts w:asciiTheme="minorHAnsi" w:eastAsia="Batang" w:hAnsiTheme="minorHAnsi"/>
          <w:b w:val="0"/>
          <w:sz w:val="18"/>
          <w:szCs w:val="20"/>
        </w:rPr>
        <w:t xml:space="preserve"> tzv. ETF fond (</w:t>
      </w:r>
      <w:r>
        <w:rPr>
          <w:rFonts w:asciiTheme="minorHAnsi" w:hAnsiTheme="minorHAnsi"/>
          <w:b w:val="0"/>
          <w:color w:val="000000"/>
          <w:sz w:val="18"/>
          <w:szCs w:val="20"/>
        </w:rPr>
        <w:t xml:space="preserve">Exchange </w:t>
      </w:r>
      <w:proofErr w:type="spellStart"/>
      <w:r>
        <w:rPr>
          <w:rFonts w:asciiTheme="minorHAnsi" w:hAnsiTheme="minorHAnsi"/>
          <w:b w:val="0"/>
          <w:color w:val="000000"/>
          <w:sz w:val="18"/>
          <w:szCs w:val="20"/>
        </w:rPr>
        <w:t>Traded</w:t>
      </w:r>
      <w:proofErr w:type="spellEnd"/>
      <w:r>
        <w:rPr>
          <w:rFonts w:asciiTheme="minorHAnsi" w:hAnsiTheme="minorHAnsi"/>
          <w:b w:val="0"/>
          <w:color w:val="000000"/>
          <w:sz w:val="18"/>
          <w:szCs w:val="20"/>
        </w:rPr>
        <w:t xml:space="preserve"> </w:t>
      </w:r>
      <w:proofErr w:type="spellStart"/>
      <w:r>
        <w:rPr>
          <w:rFonts w:asciiTheme="minorHAnsi" w:hAnsiTheme="minorHAnsi"/>
          <w:b w:val="0"/>
          <w:color w:val="000000"/>
          <w:sz w:val="18"/>
          <w:szCs w:val="20"/>
        </w:rPr>
        <w:t>Fund</w:t>
      </w:r>
      <w:proofErr w:type="spellEnd"/>
      <w:r w:rsidRPr="00A65D2C">
        <w:rPr>
          <w:rFonts w:asciiTheme="minorHAnsi" w:hAnsiTheme="minorHAnsi"/>
          <w:b w:val="0"/>
          <w:color w:val="000000"/>
          <w:sz w:val="18"/>
          <w:szCs w:val="20"/>
        </w:rPr>
        <w:t xml:space="preserve">). Jedná se o investiční fond, u kterého </w:t>
      </w:r>
      <w:r w:rsidRPr="00A65D2C">
        <w:rPr>
          <w:rFonts w:asciiTheme="minorHAnsi" w:eastAsiaTheme="minorHAnsi" w:hAnsiTheme="minorHAnsi" w:cs="Arial,Bold"/>
          <w:b w:val="0"/>
          <w:bCs/>
          <w:sz w:val="18"/>
          <w:szCs w:val="20"/>
          <w:lang w:eastAsia="en-US"/>
        </w:rPr>
        <w:t>alespoň jeden druh jím vydávaných cenných papírů kolektivního investování je obchodován průběžně během obchodního dne v alespoň jednom obchodním systému</w:t>
      </w:r>
      <w:r>
        <w:rPr>
          <w:rFonts w:asciiTheme="minorHAnsi" w:eastAsiaTheme="minorHAnsi" w:hAnsiTheme="minorHAnsi" w:cs="Arial,Bold"/>
          <w:b w:val="0"/>
          <w:bCs/>
          <w:sz w:val="18"/>
          <w:szCs w:val="20"/>
          <w:lang w:eastAsia="en-US"/>
        </w:rPr>
        <w:t xml:space="preserve"> (burza, apod.)</w:t>
      </w:r>
      <w:r w:rsidRPr="00A65D2C">
        <w:rPr>
          <w:rFonts w:asciiTheme="minorHAnsi" w:eastAsiaTheme="minorHAnsi" w:hAnsiTheme="minorHAnsi" w:cs="Arial,Bold"/>
          <w:b w:val="0"/>
          <w:bCs/>
          <w:sz w:val="18"/>
          <w:szCs w:val="20"/>
          <w:lang w:eastAsia="en-US"/>
        </w:rPr>
        <w:t xml:space="preserve"> a s alespoň jedním tvůrcem trhu, který zajišťuje, aby se cena těchto cenných papírů v tomto obchodním systému významně nelišila od jejich aktuální h</w:t>
      </w:r>
      <w:r w:rsidRPr="00A65D2C">
        <w:rPr>
          <w:rFonts w:asciiTheme="minorHAnsi" w:eastAsiaTheme="minorHAnsi" w:hAnsiTheme="minorHAnsi" w:cs="Arial"/>
          <w:b w:val="0"/>
          <w:bCs/>
          <w:sz w:val="18"/>
          <w:szCs w:val="20"/>
          <w:lang w:eastAsia="en-US"/>
        </w:rPr>
        <w:t>odnoty</w:t>
      </w:r>
    </w:p>
    <w:p w:rsidR="0065667D" w:rsidRDefault="0065667D" w:rsidP="00A112ED">
      <w:pPr>
        <w:pStyle w:val="Nadpis21"/>
        <w:numPr>
          <w:ilvl w:val="2"/>
          <w:numId w:val="1"/>
        </w:numPr>
        <w:spacing w:after="120" w:line="240" w:lineRule="atLeast"/>
        <w:ind w:left="714" w:hanging="714"/>
        <w:jc w:val="both"/>
        <w:rPr>
          <w:rFonts w:asciiTheme="minorHAnsi" w:eastAsia="Batang" w:hAnsiTheme="minorHAnsi"/>
          <w:b w:val="0"/>
          <w:sz w:val="18"/>
          <w:szCs w:val="18"/>
        </w:rPr>
      </w:pPr>
      <w:r>
        <w:rPr>
          <w:rFonts w:asciiTheme="minorHAnsi" w:eastAsia="Batang" w:hAnsiTheme="minorHAnsi"/>
          <w:b w:val="0"/>
          <w:sz w:val="18"/>
          <w:szCs w:val="18"/>
        </w:rPr>
        <w:t>Všechny investiční nástroje výše uvedených druhů, ke kterým Zprostředkovatel poskytuje investiční služby, jsou určeny zákazníkům, kteří nejsou profesionálními zákazníky ve smyslu ZPKT.</w:t>
      </w:r>
    </w:p>
    <w:p w:rsidR="0065667D" w:rsidRPr="000220A2" w:rsidRDefault="0065667D" w:rsidP="00A112ED">
      <w:pPr>
        <w:pStyle w:val="Nadpis21"/>
        <w:numPr>
          <w:ilvl w:val="2"/>
          <w:numId w:val="1"/>
        </w:numPr>
        <w:spacing w:after="120" w:line="240" w:lineRule="atLeast"/>
        <w:ind w:left="714" w:hanging="714"/>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Zprostředkovatel tímto upozorňuje zákazníky, že jeden investiční nástroj může podle svých vlastností vykázat znaky více druhů investičních nástrojů, zákazník by měl proto sledovat povahu konkrétního investičního nástroje, jedná se </w:t>
      </w:r>
      <w:r>
        <w:rPr>
          <w:rFonts w:asciiTheme="minorHAnsi" w:eastAsia="Batang" w:hAnsiTheme="minorHAnsi"/>
          <w:b w:val="0"/>
          <w:sz w:val="18"/>
          <w:szCs w:val="18"/>
        </w:rPr>
        <w:t>zejména</w:t>
      </w:r>
      <w:r w:rsidRPr="000220A2">
        <w:rPr>
          <w:rFonts w:asciiTheme="minorHAnsi" w:eastAsia="Batang" w:hAnsiTheme="minorHAnsi"/>
          <w:b w:val="0"/>
          <w:sz w:val="18"/>
          <w:szCs w:val="18"/>
        </w:rPr>
        <w:t xml:space="preserve"> o </w:t>
      </w:r>
      <w:r>
        <w:rPr>
          <w:rFonts w:asciiTheme="minorHAnsi" w:eastAsia="Batang" w:hAnsiTheme="minorHAnsi"/>
          <w:b w:val="0"/>
          <w:sz w:val="18"/>
          <w:szCs w:val="18"/>
        </w:rPr>
        <w:t>tento případ</w:t>
      </w:r>
      <w:r w:rsidRPr="000220A2">
        <w:rPr>
          <w:rFonts w:asciiTheme="minorHAnsi" w:eastAsia="Batang" w:hAnsiTheme="minorHAnsi"/>
          <w:b w:val="0"/>
          <w:sz w:val="18"/>
          <w:szCs w:val="18"/>
        </w:rPr>
        <w:t>:</w:t>
      </w:r>
    </w:p>
    <w:p w:rsidR="0065667D" w:rsidRDefault="0065667D" w:rsidP="00EA7813">
      <w:pPr>
        <w:pStyle w:val="Nadpis21"/>
        <w:numPr>
          <w:ilvl w:val="0"/>
          <w:numId w:val="13"/>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akcie investičního fondu může být zařazena do skupiny investičních cenných papírů</w:t>
      </w:r>
      <w:r>
        <w:rPr>
          <w:rStyle w:val="Znakapoznpodarou"/>
          <w:rFonts w:asciiTheme="minorHAnsi" w:eastAsia="Batang" w:hAnsiTheme="minorHAnsi"/>
          <w:b w:val="0"/>
          <w:sz w:val="18"/>
          <w:szCs w:val="18"/>
        </w:rPr>
        <w:footnoteReference w:id="3"/>
      </w:r>
      <w:r w:rsidRPr="000220A2">
        <w:rPr>
          <w:rFonts w:asciiTheme="minorHAnsi" w:eastAsia="Batang" w:hAnsiTheme="minorHAnsi"/>
          <w:b w:val="0"/>
          <w:sz w:val="18"/>
          <w:szCs w:val="18"/>
        </w:rPr>
        <w:t xml:space="preserve"> nebo do skupiny cenných papírů kolektivního investování</w:t>
      </w:r>
      <w:r>
        <w:rPr>
          <w:rFonts w:asciiTheme="minorHAnsi" w:eastAsia="Batang" w:hAnsiTheme="minorHAnsi"/>
          <w:b w:val="0"/>
          <w:sz w:val="18"/>
          <w:szCs w:val="18"/>
        </w:rPr>
        <w:t>.</w:t>
      </w:r>
    </w:p>
    <w:p w:rsidR="0065667D" w:rsidRPr="000220A2" w:rsidRDefault="0065667D" w:rsidP="004E4423">
      <w:pPr>
        <w:pStyle w:val="Nadpis21"/>
        <w:spacing w:after="120" w:line="240" w:lineRule="atLeast"/>
        <w:ind w:left="1071"/>
        <w:jc w:val="both"/>
        <w:rPr>
          <w:rFonts w:asciiTheme="minorHAnsi" w:eastAsia="Batang" w:hAnsiTheme="minorHAnsi"/>
          <w:b w:val="0"/>
          <w:sz w:val="18"/>
          <w:szCs w:val="18"/>
          <w:u w:val="single"/>
        </w:rPr>
      </w:pPr>
    </w:p>
    <w:p w:rsidR="0065667D" w:rsidRPr="000220A2" w:rsidRDefault="0065667D" w:rsidP="00A112ED">
      <w:pPr>
        <w:pStyle w:val="Nadpis21"/>
        <w:numPr>
          <w:ilvl w:val="1"/>
          <w:numId w:val="1"/>
        </w:numPr>
        <w:spacing w:after="240" w:line="240" w:lineRule="atLeast"/>
        <w:ind w:left="714" w:hanging="714"/>
        <w:jc w:val="both"/>
        <w:rPr>
          <w:rFonts w:asciiTheme="minorHAnsi" w:eastAsia="Batang" w:hAnsiTheme="minorHAnsi"/>
          <w:sz w:val="20"/>
          <w:szCs w:val="20"/>
        </w:rPr>
      </w:pPr>
      <w:r w:rsidRPr="000220A2">
        <w:rPr>
          <w:rFonts w:asciiTheme="minorHAnsi" w:eastAsia="Batang" w:hAnsiTheme="minorHAnsi"/>
          <w:sz w:val="20"/>
          <w:szCs w:val="20"/>
        </w:rPr>
        <w:t>Stručná charakteristika investičních nástrojů, ke kterým je Zprostředkovatel oprávněn poskytovat investiční služby</w:t>
      </w:r>
    </w:p>
    <w:p w:rsidR="0065667D" w:rsidRPr="000220A2" w:rsidRDefault="0065667D" w:rsidP="00A112ED">
      <w:pPr>
        <w:pStyle w:val="Nadpis21"/>
        <w:numPr>
          <w:ilvl w:val="2"/>
          <w:numId w:val="1"/>
        </w:numPr>
        <w:spacing w:after="120" w:line="240" w:lineRule="atLeast"/>
        <w:ind w:left="714" w:hanging="714"/>
        <w:rPr>
          <w:rFonts w:asciiTheme="minorHAnsi" w:eastAsia="Batang" w:hAnsiTheme="minorHAnsi"/>
          <w:sz w:val="18"/>
          <w:szCs w:val="18"/>
        </w:rPr>
      </w:pPr>
      <w:r w:rsidRPr="000220A2">
        <w:rPr>
          <w:rFonts w:asciiTheme="minorHAnsi" w:eastAsia="Batang" w:hAnsiTheme="minorHAnsi"/>
          <w:sz w:val="18"/>
          <w:szCs w:val="18"/>
        </w:rPr>
        <w:t>Dluhopisy</w:t>
      </w:r>
      <w:r>
        <w:rPr>
          <w:rFonts w:asciiTheme="minorHAnsi" w:eastAsia="Batang" w:hAnsiTheme="minorHAnsi"/>
          <w:sz w:val="18"/>
          <w:szCs w:val="18"/>
        </w:rPr>
        <w:t xml:space="preserve"> obecně</w:t>
      </w:r>
    </w:p>
    <w:p w:rsidR="0065667D" w:rsidRPr="000220A2" w:rsidRDefault="0065667D" w:rsidP="00A112ED">
      <w:pPr>
        <w:pStyle w:val="Nadpis21"/>
        <w:spacing w:after="120" w:line="240" w:lineRule="atLeast"/>
        <w:ind w:left="714"/>
        <w:jc w:val="both"/>
        <w:rPr>
          <w:rFonts w:asciiTheme="minorHAnsi" w:eastAsia="Batang" w:hAnsiTheme="minorHAnsi"/>
          <w:b w:val="0"/>
          <w:sz w:val="18"/>
          <w:szCs w:val="18"/>
        </w:rPr>
      </w:pPr>
      <w:r w:rsidRPr="000220A2">
        <w:rPr>
          <w:rFonts w:asciiTheme="minorHAnsi" w:eastAsia="Batang" w:hAnsiTheme="minorHAnsi"/>
          <w:b w:val="0"/>
          <w:sz w:val="18"/>
          <w:szCs w:val="18"/>
        </w:rPr>
        <w:t>Dluhopis je dluhový cenný papír nebo zaknihovaný cenný papír, který vyjadřuje závazek emitenta vůči každému vlastníku tohoto investičního nástroje. Konkrétní podoba tohoto závazku závisí na druhu dluhopisu. Dluhopisy můžeme dělit zejména podle doby splatnosti (krátkodobé, dlouhodobé), podle druhu emitenta (dluhopisy veřejného sektoru, bankovní dluhopisy, dluhopisy obchodních korporací apod.), podle způsobu výplaty kupónu (</w:t>
      </w:r>
      <w:proofErr w:type="spellStart"/>
      <w:r w:rsidRPr="000220A2">
        <w:rPr>
          <w:rFonts w:asciiTheme="minorHAnsi" w:eastAsia="Batang" w:hAnsiTheme="minorHAnsi"/>
          <w:b w:val="0"/>
          <w:sz w:val="18"/>
          <w:szCs w:val="18"/>
        </w:rPr>
        <w:t>bezkupónové</w:t>
      </w:r>
      <w:proofErr w:type="spellEnd"/>
      <w:r w:rsidRPr="000220A2">
        <w:rPr>
          <w:rFonts w:asciiTheme="minorHAnsi" w:eastAsia="Batang" w:hAnsiTheme="minorHAnsi"/>
          <w:b w:val="0"/>
          <w:sz w:val="18"/>
          <w:szCs w:val="18"/>
        </w:rPr>
        <w:t xml:space="preserve"> dluhopisy, dluhopisy s fixním kupónem, dluhopisy s proměnlivým kupónem apod.). Možný výnos z dluhopisu je bezprostředně spojen s typem dluhopisu. </w:t>
      </w:r>
    </w:p>
    <w:p w:rsidR="0065667D" w:rsidRPr="000220A2" w:rsidRDefault="0065667D" w:rsidP="00A112ED">
      <w:pPr>
        <w:pStyle w:val="Nadpis21"/>
        <w:numPr>
          <w:ilvl w:val="0"/>
          <w:numId w:val="4"/>
        </w:numPr>
        <w:spacing w:after="120" w:line="240" w:lineRule="atLeast"/>
        <w:ind w:left="1071" w:hanging="357"/>
        <w:jc w:val="both"/>
        <w:rPr>
          <w:rFonts w:asciiTheme="minorHAnsi" w:eastAsia="Batang" w:hAnsiTheme="minorHAnsi"/>
          <w:b w:val="0"/>
          <w:sz w:val="18"/>
          <w:szCs w:val="18"/>
        </w:rPr>
      </w:pPr>
      <w:proofErr w:type="spellStart"/>
      <w:r w:rsidRPr="000220A2">
        <w:rPr>
          <w:rFonts w:asciiTheme="minorHAnsi" w:eastAsia="Batang" w:hAnsiTheme="minorHAnsi"/>
          <w:sz w:val="18"/>
          <w:szCs w:val="18"/>
          <w:u w:val="single"/>
        </w:rPr>
        <w:t>Bezkupónové</w:t>
      </w:r>
      <w:proofErr w:type="spellEnd"/>
      <w:r w:rsidRPr="000220A2">
        <w:rPr>
          <w:rFonts w:asciiTheme="minorHAnsi" w:eastAsia="Batang" w:hAnsiTheme="minorHAnsi"/>
          <w:sz w:val="18"/>
          <w:szCs w:val="18"/>
          <w:u w:val="single"/>
        </w:rPr>
        <w:t xml:space="preserve"> dluhopisy</w:t>
      </w:r>
      <w:r w:rsidRPr="000220A2">
        <w:rPr>
          <w:rFonts w:asciiTheme="minorHAnsi" w:eastAsia="Batang" w:hAnsiTheme="minorHAnsi"/>
          <w:b w:val="0"/>
          <w:sz w:val="18"/>
          <w:szCs w:val="18"/>
        </w:rPr>
        <w:t xml:space="preserve"> – investor je nakupuje za nižší cenu, než je jejich jmenovitá hodnota, v době splatnosti obdrží jmenovitou hodnotu – výnos z tohoto typu dluhopisu je potom dán rozdílem mezi jmenovitou hodnotou a pořizovací cenou dluhopisu.</w:t>
      </w:r>
    </w:p>
    <w:p w:rsidR="0065667D" w:rsidRPr="000220A2" w:rsidRDefault="0065667D" w:rsidP="00A112ED">
      <w:pPr>
        <w:pStyle w:val="Nadpis21"/>
        <w:numPr>
          <w:ilvl w:val="0"/>
          <w:numId w:val="4"/>
        </w:numPr>
        <w:spacing w:after="120" w:line="240" w:lineRule="atLeast"/>
        <w:ind w:left="1071" w:hanging="357"/>
        <w:jc w:val="both"/>
        <w:rPr>
          <w:rFonts w:asciiTheme="minorHAnsi" w:eastAsia="Batang" w:hAnsiTheme="minorHAnsi"/>
          <w:b w:val="0"/>
          <w:sz w:val="18"/>
          <w:szCs w:val="18"/>
        </w:rPr>
      </w:pPr>
      <w:r w:rsidRPr="000220A2">
        <w:rPr>
          <w:rFonts w:asciiTheme="minorHAnsi" w:eastAsia="Batang" w:hAnsiTheme="minorHAnsi"/>
          <w:sz w:val="18"/>
          <w:szCs w:val="18"/>
          <w:u w:val="single"/>
        </w:rPr>
        <w:t>Kupónové dluhopisy</w:t>
      </w:r>
      <w:r w:rsidRPr="000220A2">
        <w:rPr>
          <w:rFonts w:asciiTheme="minorHAnsi" w:eastAsia="Batang" w:hAnsiTheme="minorHAnsi"/>
          <w:b w:val="0"/>
          <w:sz w:val="18"/>
          <w:szCs w:val="18"/>
        </w:rPr>
        <w:t xml:space="preserve"> – investorovi je emitentem každoročně vyplácen kupón a v době splatnosti je investorovi vyplacena jmenovitá hodnota dluhopisu  -  výnos je potom složen ze dvou částí – i) kupónový výnos (jeho výše může být určena fixně nebo se může měnit během doby splatnosti dluhopisu) a </w:t>
      </w:r>
      <w:proofErr w:type="spellStart"/>
      <w:r w:rsidRPr="000220A2">
        <w:rPr>
          <w:rFonts w:asciiTheme="minorHAnsi" w:eastAsia="Batang" w:hAnsiTheme="minorHAnsi"/>
          <w:b w:val="0"/>
          <w:sz w:val="18"/>
          <w:szCs w:val="18"/>
        </w:rPr>
        <w:t>ii</w:t>
      </w:r>
      <w:proofErr w:type="spellEnd"/>
      <w:r w:rsidRPr="000220A2">
        <w:rPr>
          <w:rFonts w:asciiTheme="minorHAnsi" w:eastAsia="Batang" w:hAnsiTheme="minorHAnsi"/>
          <w:b w:val="0"/>
          <w:sz w:val="18"/>
          <w:szCs w:val="18"/>
        </w:rPr>
        <w:t xml:space="preserve">) kapitálový výnos - ten může být dán buď kladným rozdílem prodejní a nákupní ceny dluhopisu nebo kladným rozdílem vyplacené jmenovité hodnoty dluhopisu a nákupní </w:t>
      </w:r>
      <w:r w:rsidRPr="000220A2">
        <w:rPr>
          <w:rFonts w:asciiTheme="minorHAnsi" w:eastAsia="Batang" w:hAnsiTheme="minorHAnsi"/>
          <w:b w:val="0"/>
          <w:sz w:val="18"/>
          <w:szCs w:val="18"/>
        </w:rPr>
        <w:lastRenderedPageBreak/>
        <w:t>ceny (i v případě dluhopisů může investor utrpět kapitálovou ztrátu, pokud nákupní cena převýší cenu prodejní nebo vyplacenou jmenovitou hodnotu při splatnosti dluhopisu).</w:t>
      </w:r>
    </w:p>
    <w:p w:rsidR="0065667D" w:rsidRDefault="0065667D" w:rsidP="00A112ED">
      <w:pPr>
        <w:pStyle w:val="Nadpis21"/>
        <w:numPr>
          <w:ilvl w:val="0"/>
          <w:numId w:val="4"/>
        </w:numPr>
        <w:spacing w:after="120" w:line="240" w:lineRule="atLeast"/>
        <w:ind w:left="1071" w:hanging="357"/>
        <w:jc w:val="both"/>
        <w:rPr>
          <w:rFonts w:asciiTheme="minorHAnsi" w:eastAsia="Batang" w:hAnsiTheme="minorHAnsi"/>
          <w:b w:val="0"/>
          <w:sz w:val="18"/>
          <w:szCs w:val="18"/>
        </w:rPr>
      </w:pPr>
      <w:r w:rsidRPr="000220A2">
        <w:rPr>
          <w:rFonts w:asciiTheme="minorHAnsi" w:eastAsia="Batang" w:hAnsiTheme="minorHAnsi"/>
          <w:sz w:val="18"/>
          <w:szCs w:val="18"/>
          <w:u w:val="single"/>
        </w:rPr>
        <w:t>Strukturované a další speciální typy dluhopisů</w:t>
      </w:r>
      <w:r w:rsidRPr="000220A2">
        <w:rPr>
          <w:rFonts w:asciiTheme="minorHAnsi" w:eastAsia="Batang" w:hAnsiTheme="minorHAnsi"/>
          <w:b w:val="0"/>
          <w:sz w:val="18"/>
          <w:szCs w:val="18"/>
        </w:rPr>
        <w:t xml:space="preserve"> – u těchto speciálních druhů dluhopisů je možné participovat na výnosu (ale i ztrátě) dalších investičních nástrojů.</w:t>
      </w:r>
    </w:p>
    <w:p w:rsidR="0065667D" w:rsidRPr="000220A2" w:rsidRDefault="0065667D" w:rsidP="00E164A5">
      <w:pPr>
        <w:pStyle w:val="Nadpis21"/>
        <w:spacing w:after="120" w:line="240" w:lineRule="atLeast"/>
        <w:ind w:left="709"/>
        <w:jc w:val="both"/>
        <w:rPr>
          <w:rFonts w:asciiTheme="minorHAnsi" w:eastAsia="Batang" w:hAnsiTheme="minorHAnsi"/>
          <w:b w:val="0"/>
          <w:sz w:val="18"/>
          <w:szCs w:val="18"/>
        </w:rPr>
      </w:pPr>
      <w:r>
        <w:rPr>
          <w:rFonts w:asciiTheme="minorHAnsi" w:eastAsia="Batang" w:hAnsiTheme="minorHAnsi"/>
          <w:b w:val="0"/>
          <w:sz w:val="18"/>
          <w:szCs w:val="18"/>
        </w:rPr>
        <w:t>Zprostředkovatel je oprávněn poskytovat investiční služby pouze k níže uvedeným druhům dluhopisů.</w:t>
      </w:r>
    </w:p>
    <w:p w:rsidR="0065667D" w:rsidRPr="00DB57A5" w:rsidRDefault="0065667D" w:rsidP="00E164A5">
      <w:pPr>
        <w:pStyle w:val="Nadpis21"/>
        <w:spacing w:after="120" w:line="240" w:lineRule="atLeast"/>
        <w:ind w:left="709"/>
        <w:jc w:val="both"/>
        <w:rPr>
          <w:rFonts w:asciiTheme="minorHAnsi" w:eastAsia="Batang" w:hAnsiTheme="minorHAnsi"/>
          <w:sz w:val="18"/>
          <w:szCs w:val="18"/>
          <w:u w:val="single"/>
        </w:rPr>
      </w:pPr>
      <w:r w:rsidRPr="00DB57A5">
        <w:rPr>
          <w:rFonts w:asciiTheme="minorHAnsi" w:eastAsia="Batang" w:hAnsiTheme="minorHAnsi"/>
          <w:sz w:val="18"/>
          <w:szCs w:val="18"/>
          <w:u w:val="single"/>
        </w:rPr>
        <w:t>Hypoteční zástavní listy</w:t>
      </w:r>
    </w:p>
    <w:p w:rsidR="0065667D" w:rsidRDefault="0065667D" w:rsidP="00DB57A5">
      <w:pPr>
        <w:pStyle w:val="Nadpis21"/>
        <w:spacing w:after="120" w:line="240" w:lineRule="atLeast"/>
        <w:ind w:left="714"/>
        <w:jc w:val="both"/>
        <w:rPr>
          <w:rFonts w:asciiTheme="minorHAnsi" w:eastAsia="Batang" w:hAnsiTheme="minorHAnsi"/>
          <w:b w:val="0"/>
          <w:sz w:val="18"/>
          <w:szCs w:val="18"/>
        </w:rPr>
      </w:pPr>
      <w:r w:rsidRPr="00DB57A5">
        <w:rPr>
          <w:rFonts w:asciiTheme="minorHAnsi" w:eastAsia="Batang" w:hAnsiTheme="minorHAnsi"/>
          <w:b w:val="0"/>
          <w:sz w:val="18"/>
          <w:szCs w:val="18"/>
        </w:rPr>
        <w:t>Hypoteční zástavní listy jsou dluhopisy, jakož i obdobné cenné papíry představující právo na splacení dlužné částky vydávané podle práva cizího státu, jejichž jme</w:t>
      </w:r>
      <w:r>
        <w:rPr>
          <w:rFonts w:asciiTheme="minorHAnsi" w:eastAsia="Batang" w:hAnsiTheme="minorHAnsi"/>
          <w:b w:val="0"/>
          <w:sz w:val="18"/>
          <w:szCs w:val="18"/>
        </w:rPr>
        <w:t xml:space="preserve">novitá hodnota a poměrný výnos </w:t>
      </w:r>
      <w:r w:rsidRPr="00DB57A5">
        <w:rPr>
          <w:rFonts w:asciiTheme="minorHAnsi" w:eastAsia="Batang" w:hAnsiTheme="minorHAnsi"/>
          <w:b w:val="0"/>
          <w:sz w:val="18"/>
          <w:szCs w:val="18"/>
        </w:rPr>
        <w:t>jsou plně kryty pohledávkami z hypotečních úvěrů nebo částí těchto pohledávek (řádné krytí) a popřípadě též náhradním způsobem podle zákona</w:t>
      </w:r>
      <w:r>
        <w:rPr>
          <w:rFonts w:asciiTheme="minorHAnsi" w:eastAsia="Batang" w:hAnsiTheme="minorHAnsi"/>
          <w:b w:val="0"/>
          <w:sz w:val="18"/>
          <w:szCs w:val="18"/>
        </w:rPr>
        <w:t xml:space="preserve"> o dluhopisech</w:t>
      </w:r>
      <w:r w:rsidRPr="00DB57A5">
        <w:rPr>
          <w:rFonts w:asciiTheme="minorHAnsi" w:eastAsia="Batang" w:hAnsiTheme="minorHAnsi"/>
          <w:b w:val="0"/>
          <w:sz w:val="18"/>
          <w:szCs w:val="18"/>
        </w:rPr>
        <w:t xml:space="preserve"> (náhradní krytí). Součástí názvu je označení hypoteční zástavní list. Jiné cenné papíry</w:t>
      </w:r>
      <w:r>
        <w:rPr>
          <w:rFonts w:asciiTheme="minorHAnsi" w:eastAsia="Batang" w:hAnsiTheme="minorHAnsi"/>
          <w:b w:val="0"/>
          <w:sz w:val="18"/>
          <w:szCs w:val="18"/>
        </w:rPr>
        <w:t xml:space="preserve"> nesmí toto označení obsahovat. </w:t>
      </w:r>
      <w:r w:rsidRPr="00DB57A5">
        <w:rPr>
          <w:rFonts w:asciiTheme="minorHAnsi" w:eastAsia="Batang" w:hAnsiTheme="minorHAnsi"/>
          <w:b w:val="0"/>
          <w:sz w:val="18"/>
          <w:szCs w:val="18"/>
        </w:rPr>
        <w:t>Hypoteční zástavní listy může vydávat pouze banka podle zvláštního právního předpisu upravujícího činnost b</w:t>
      </w:r>
      <w:r>
        <w:rPr>
          <w:rFonts w:asciiTheme="minorHAnsi" w:eastAsia="Batang" w:hAnsiTheme="minorHAnsi"/>
          <w:b w:val="0"/>
          <w:sz w:val="18"/>
          <w:szCs w:val="18"/>
        </w:rPr>
        <w:t>ank se sídlem v České republice.</w:t>
      </w:r>
    </w:p>
    <w:p w:rsidR="0065667D" w:rsidRDefault="0065667D" w:rsidP="00DB57A5">
      <w:pPr>
        <w:pStyle w:val="Nadpis21"/>
        <w:spacing w:after="120" w:line="240" w:lineRule="atLeast"/>
        <w:ind w:left="714"/>
        <w:jc w:val="both"/>
        <w:rPr>
          <w:rFonts w:asciiTheme="minorHAnsi" w:eastAsia="Batang" w:hAnsiTheme="minorHAnsi"/>
          <w:sz w:val="18"/>
          <w:szCs w:val="18"/>
          <w:u w:val="single"/>
        </w:rPr>
      </w:pPr>
      <w:r w:rsidRPr="00DB57A5">
        <w:rPr>
          <w:rFonts w:asciiTheme="minorHAnsi" w:eastAsia="Batang" w:hAnsiTheme="minorHAnsi"/>
          <w:sz w:val="18"/>
          <w:szCs w:val="18"/>
          <w:u w:val="single"/>
        </w:rPr>
        <w:t>Dluhopisy vydané Českou republikou</w:t>
      </w:r>
    </w:p>
    <w:p w:rsidR="0065667D" w:rsidRDefault="0065667D" w:rsidP="00DB57A5">
      <w:pPr>
        <w:pStyle w:val="Nadpis21"/>
        <w:spacing w:after="120" w:line="240" w:lineRule="atLeast"/>
        <w:ind w:left="714"/>
        <w:jc w:val="both"/>
        <w:rPr>
          <w:rFonts w:asciiTheme="minorHAnsi" w:eastAsia="Batang" w:hAnsiTheme="minorHAnsi"/>
          <w:b w:val="0"/>
          <w:sz w:val="18"/>
          <w:szCs w:val="18"/>
        </w:rPr>
      </w:pPr>
      <w:r>
        <w:rPr>
          <w:rFonts w:asciiTheme="minorHAnsi" w:eastAsia="Batang" w:hAnsiTheme="minorHAnsi"/>
          <w:b w:val="0"/>
          <w:sz w:val="18"/>
          <w:szCs w:val="18"/>
        </w:rPr>
        <w:t xml:space="preserve">Dluhopisy vydané Českou republikou jsou dluhopisy, které vydává Česká republika na základě </w:t>
      </w:r>
      <w:r w:rsidRPr="00DB57A5">
        <w:rPr>
          <w:rFonts w:asciiTheme="minorHAnsi" w:eastAsia="Batang" w:hAnsiTheme="minorHAnsi"/>
          <w:b w:val="0"/>
          <w:sz w:val="18"/>
          <w:szCs w:val="18"/>
        </w:rPr>
        <w:t xml:space="preserve">zvláštního zákona </w:t>
      </w:r>
      <w:r>
        <w:rPr>
          <w:rFonts w:asciiTheme="minorHAnsi" w:eastAsia="Batang" w:hAnsiTheme="minorHAnsi"/>
          <w:b w:val="0"/>
          <w:sz w:val="18"/>
          <w:szCs w:val="18"/>
        </w:rPr>
        <w:t>o státním dluhopisovém programu</w:t>
      </w:r>
      <w:r w:rsidRPr="00DB57A5">
        <w:rPr>
          <w:rFonts w:asciiTheme="minorHAnsi" w:eastAsia="Batang" w:hAnsiTheme="minorHAnsi"/>
          <w:b w:val="0"/>
          <w:sz w:val="18"/>
          <w:szCs w:val="18"/>
        </w:rPr>
        <w:t xml:space="preserve"> nebo</w:t>
      </w:r>
      <w:r>
        <w:rPr>
          <w:rFonts w:asciiTheme="minorHAnsi" w:eastAsia="Batang" w:hAnsiTheme="minorHAnsi"/>
          <w:b w:val="0"/>
          <w:sz w:val="18"/>
          <w:szCs w:val="18"/>
        </w:rPr>
        <w:t xml:space="preserve"> na základě </w:t>
      </w:r>
      <w:r w:rsidRPr="00DB57A5">
        <w:rPr>
          <w:rFonts w:asciiTheme="minorHAnsi" w:eastAsia="Batang" w:hAnsiTheme="minorHAnsi"/>
          <w:b w:val="0"/>
          <w:sz w:val="18"/>
          <w:szCs w:val="18"/>
        </w:rPr>
        <w:t xml:space="preserve">zvláštního zákona, který pověřuje </w:t>
      </w:r>
      <w:r>
        <w:rPr>
          <w:rFonts w:asciiTheme="minorHAnsi" w:eastAsia="Batang" w:hAnsiTheme="minorHAnsi"/>
          <w:b w:val="0"/>
          <w:sz w:val="18"/>
          <w:szCs w:val="18"/>
        </w:rPr>
        <w:t>M</w:t>
      </w:r>
      <w:r w:rsidRPr="00DB57A5">
        <w:rPr>
          <w:rFonts w:asciiTheme="minorHAnsi" w:eastAsia="Batang" w:hAnsiTheme="minorHAnsi"/>
          <w:b w:val="0"/>
          <w:sz w:val="18"/>
          <w:szCs w:val="18"/>
        </w:rPr>
        <w:t xml:space="preserve">inisterstvo </w:t>
      </w:r>
      <w:r>
        <w:rPr>
          <w:rFonts w:asciiTheme="minorHAnsi" w:eastAsia="Batang" w:hAnsiTheme="minorHAnsi"/>
          <w:b w:val="0"/>
          <w:sz w:val="18"/>
          <w:szCs w:val="18"/>
        </w:rPr>
        <w:t xml:space="preserve">financí </w:t>
      </w:r>
      <w:r w:rsidRPr="00DB57A5">
        <w:rPr>
          <w:rFonts w:asciiTheme="minorHAnsi" w:eastAsia="Batang" w:hAnsiTheme="minorHAnsi"/>
          <w:b w:val="0"/>
          <w:sz w:val="18"/>
          <w:szCs w:val="18"/>
        </w:rPr>
        <w:t>vydat státní dluhopisy nebo mu vydání státních dluhopisů umožňuje</w:t>
      </w:r>
      <w:r>
        <w:rPr>
          <w:rFonts w:asciiTheme="minorHAnsi" w:eastAsia="Batang" w:hAnsiTheme="minorHAnsi"/>
          <w:b w:val="0"/>
          <w:sz w:val="18"/>
          <w:szCs w:val="18"/>
        </w:rPr>
        <w:t xml:space="preserve">. </w:t>
      </w:r>
      <w:r w:rsidRPr="00E164A5">
        <w:rPr>
          <w:rFonts w:asciiTheme="minorHAnsi" w:eastAsia="Batang" w:hAnsiTheme="minorHAnsi"/>
          <w:b w:val="0"/>
          <w:sz w:val="18"/>
          <w:szCs w:val="18"/>
        </w:rPr>
        <w:t xml:space="preserve">Na základě zvláštního zákona podle </w:t>
      </w:r>
      <w:r>
        <w:rPr>
          <w:rFonts w:asciiTheme="minorHAnsi" w:eastAsia="Batang" w:hAnsiTheme="minorHAnsi"/>
          <w:b w:val="0"/>
          <w:sz w:val="18"/>
          <w:szCs w:val="18"/>
        </w:rPr>
        <w:t xml:space="preserve">předchozí věty </w:t>
      </w:r>
      <w:r w:rsidRPr="00E164A5">
        <w:rPr>
          <w:rFonts w:asciiTheme="minorHAnsi" w:eastAsia="Batang" w:hAnsiTheme="minorHAnsi"/>
          <w:b w:val="0"/>
          <w:sz w:val="18"/>
          <w:szCs w:val="18"/>
        </w:rPr>
        <w:t>je možné vydávat jednotlivé emise dluhopisů s různými emisními podmínkami</w:t>
      </w:r>
      <w:r>
        <w:rPr>
          <w:rFonts w:asciiTheme="minorHAnsi" w:eastAsia="Batang" w:hAnsiTheme="minorHAnsi"/>
          <w:b w:val="0"/>
          <w:sz w:val="18"/>
          <w:szCs w:val="18"/>
        </w:rPr>
        <w:t>.</w:t>
      </w:r>
    </w:p>
    <w:p w:rsidR="0065667D" w:rsidRPr="00E164A5" w:rsidRDefault="0065667D" w:rsidP="00DB57A5">
      <w:pPr>
        <w:pStyle w:val="Nadpis21"/>
        <w:spacing w:after="120" w:line="240" w:lineRule="atLeast"/>
        <w:ind w:left="714"/>
        <w:jc w:val="both"/>
        <w:rPr>
          <w:rFonts w:asciiTheme="minorHAnsi" w:eastAsia="Batang" w:hAnsiTheme="minorHAnsi"/>
          <w:sz w:val="18"/>
          <w:szCs w:val="18"/>
          <w:u w:val="single"/>
        </w:rPr>
      </w:pPr>
      <w:r w:rsidRPr="00E164A5">
        <w:rPr>
          <w:rFonts w:asciiTheme="minorHAnsi" w:eastAsia="Batang" w:hAnsiTheme="minorHAnsi"/>
          <w:sz w:val="18"/>
          <w:szCs w:val="18"/>
          <w:u w:val="single"/>
        </w:rPr>
        <w:t>Dluhopisy, ke kterým byl vydán prospekt nebo srovnatelný dokument</w:t>
      </w:r>
    </w:p>
    <w:p w:rsidR="0065667D" w:rsidRDefault="0065667D" w:rsidP="00DB57A5">
      <w:pPr>
        <w:pStyle w:val="Nadpis21"/>
        <w:spacing w:after="120" w:line="240" w:lineRule="atLeast"/>
        <w:ind w:left="714"/>
        <w:jc w:val="both"/>
        <w:rPr>
          <w:rFonts w:asciiTheme="minorHAnsi" w:eastAsia="Batang" w:hAnsiTheme="minorHAnsi"/>
          <w:b w:val="0"/>
          <w:sz w:val="18"/>
          <w:szCs w:val="18"/>
        </w:rPr>
      </w:pPr>
      <w:r w:rsidRPr="00E651DB">
        <w:rPr>
          <w:rFonts w:asciiTheme="minorHAnsi" w:eastAsia="Batang" w:hAnsiTheme="minorHAnsi"/>
          <w:b w:val="0"/>
          <w:sz w:val="18"/>
          <w:szCs w:val="18"/>
        </w:rPr>
        <w:t>Dluhopisy, ke kterým byl vydán prospekt nebo srovnatelný dokument jsou dluhopisy</w:t>
      </w:r>
      <w:r>
        <w:rPr>
          <w:rFonts w:asciiTheme="minorHAnsi" w:eastAsia="Batang" w:hAnsiTheme="minorHAnsi"/>
          <w:b w:val="0"/>
          <w:sz w:val="18"/>
          <w:szCs w:val="18"/>
        </w:rPr>
        <w:t xml:space="preserve"> odlišné od dluhopisů vydaných Českou republikou, emitované typicky obchodními korporacemi, ke kterým byl na základě ZPKT a zákona o dluhopisech vydán a Českou národní bankou schválen prospekt nebo srovnatelný dokument. Prospektem se rozumí d</w:t>
      </w:r>
      <w:r w:rsidRPr="008C5696">
        <w:rPr>
          <w:rFonts w:asciiTheme="minorHAnsi" w:eastAsia="Batang" w:hAnsiTheme="minorHAnsi"/>
          <w:b w:val="0"/>
          <w:sz w:val="18"/>
          <w:szCs w:val="18"/>
        </w:rPr>
        <w:t xml:space="preserve">okument, kterým emitent </w:t>
      </w:r>
      <w:r>
        <w:rPr>
          <w:rFonts w:asciiTheme="minorHAnsi" w:eastAsia="Batang" w:hAnsiTheme="minorHAnsi"/>
          <w:b w:val="0"/>
          <w:sz w:val="18"/>
          <w:szCs w:val="18"/>
        </w:rPr>
        <w:t>dluhopisu</w:t>
      </w:r>
      <w:r w:rsidRPr="008C5696">
        <w:rPr>
          <w:rFonts w:asciiTheme="minorHAnsi" w:eastAsia="Batang" w:hAnsiTheme="minorHAnsi"/>
          <w:b w:val="0"/>
          <w:sz w:val="18"/>
          <w:szCs w:val="18"/>
        </w:rPr>
        <w:t xml:space="preserve">, který má být přijat k obchodování na regulovaném trhu nebo veřejně nabízen, sděluje </w:t>
      </w:r>
      <w:r>
        <w:rPr>
          <w:rFonts w:asciiTheme="minorHAnsi" w:eastAsia="Batang" w:hAnsiTheme="minorHAnsi"/>
          <w:b w:val="0"/>
          <w:sz w:val="18"/>
          <w:szCs w:val="18"/>
        </w:rPr>
        <w:t>zákazníkům a potenciálním zákazníkům</w:t>
      </w:r>
      <w:r w:rsidRPr="008C5696">
        <w:rPr>
          <w:rFonts w:asciiTheme="minorHAnsi" w:eastAsia="Batang" w:hAnsiTheme="minorHAnsi"/>
          <w:b w:val="0"/>
          <w:sz w:val="18"/>
          <w:szCs w:val="18"/>
        </w:rPr>
        <w:t xml:space="preserve"> základní informace o sobě, svém podnikání, finanční situaci a údaje o vydávaném </w:t>
      </w:r>
      <w:r>
        <w:rPr>
          <w:rFonts w:asciiTheme="minorHAnsi" w:eastAsia="Batang" w:hAnsiTheme="minorHAnsi"/>
          <w:b w:val="0"/>
          <w:sz w:val="18"/>
          <w:szCs w:val="18"/>
        </w:rPr>
        <w:t xml:space="preserve">dluhopisu. </w:t>
      </w:r>
    </w:p>
    <w:p w:rsidR="0065667D" w:rsidRDefault="0065667D" w:rsidP="00DB57A5">
      <w:pPr>
        <w:pStyle w:val="Nadpis21"/>
        <w:spacing w:after="120" w:line="240" w:lineRule="atLeast"/>
        <w:ind w:left="714"/>
        <w:jc w:val="both"/>
        <w:rPr>
          <w:rFonts w:asciiTheme="minorHAnsi" w:eastAsia="Batang" w:hAnsiTheme="minorHAnsi"/>
          <w:b w:val="0"/>
          <w:sz w:val="18"/>
          <w:szCs w:val="18"/>
        </w:rPr>
      </w:pPr>
      <w:r>
        <w:rPr>
          <w:rFonts w:asciiTheme="minorHAnsi" w:eastAsia="Batang" w:hAnsiTheme="minorHAnsi"/>
          <w:b w:val="0"/>
          <w:sz w:val="18"/>
          <w:szCs w:val="18"/>
        </w:rPr>
        <w:t xml:space="preserve">Zprostředkovatel před zahájením poskytování investičních služeb k této kategorii dluhopisů </w:t>
      </w:r>
      <w:r w:rsidRPr="0092334B">
        <w:rPr>
          <w:rFonts w:asciiTheme="minorHAnsi" w:eastAsia="Batang" w:hAnsiTheme="minorHAnsi"/>
          <w:b w:val="0"/>
          <w:sz w:val="18"/>
          <w:szCs w:val="18"/>
        </w:rPr>
        <w:t>zákazníkovi nebo potenciálnímu zákazníkovi</w:t>
      </w:r>
      <w:r>
        <w:rPr>
          <w:rFonts w:asciiTheme="minorHAnsi" w:eastAsia="Batang" w:hAnsiTheme="minorHAnsi"/>
          <w:b w:val="0"/>
          <w:sz w:val="18"/>
          <w:szCs w:val="18"/>
        </w:rPr>
        <w:t xml:space="preserve"> sdělí</w:t>
      </w:r>
      <w:r w:rsidRPr="0092334B">
        <w:rPr>
          <w:rFonts w:asciiTheme="minorHAnsi" w:eastAsia="Batang" w:hAnsiTheme="minorHAnsi"/>
          <w:b w:val="0"/>
          <w:sz w:val="18"/>
          <w:szCs w:val="18"/>
        </w:rPr>
        <w:t xml:space="preserve">, kde </w:t>
      </w:r>
      <w:r>
        <w:rPr>
          <w:rFonts w:asciiTheme="minorHAnsi" w:eastAsia="Batang" w:hAnsiTheme="minorHAnsi"/>
          <w:b w:val="0"/>
          <w:sz w:val="18"/>
          <w:szCs w:val="18"/>
        </w:rPr>
        <w:t>lze prospekt nebo srovnatelný dokument získat.</w:t>
      </w:r>
    </w:p>
    <w:p w:rsidR="0065667D" w:rsidRDefault="0065667D" w:rsidP="00DB57A5">
      <w:pPr>
        <w:pStyle w:val="Nadpis21"/>
        <w:spacing w:after="120" w:line="240" w:lineRule="atLeast"/>
        <w:ind w:left="714"/>
        <w:jc w:val="both"/>
        <w:rPr>
          <w:rFonts w:asciiTheme="minorHAnsi" w:eastAsia="Batang" w:hAnsiTheme="minorHAnsi"/>
          <w:sz w:val="18"/>
          <w:szCs w:val="18"/>
        </w:rPr>
      </w:pPr>
    </w:p>
    <w:p w:rsidR="0065667D" w:rsidRPr="000220A2" w:rsidRDefault="0065667D" w:rsidP="00A112ED">
      <w:pPr>
        <w:pStyle w:val="Nadpis21"/>
        <w:numPr>
          <w:ilvl w:val="2"/>
          <w:numId w:val="1"/>
        </w:numPr>
        <w:spacing w:after="120" w:line="240" w:lineRule="atLeast"/>
        <w:ind w:left="714" w:hanging="714"/>
        <w:jc w:val="both"/>
        <w:rPr>
          <w:rFonts w:asciiTheme="minorHAnsi" w:eastAsia="Batang" w:hAnsiTheme="minorHAnsi"/>
          <w:sz w:val="18"/>
          <w:szCs w:val="18"/>
        </w:rPr>
      </w:pPr>
      <w:r w:rsidRPr="000220A2">
        <w:rPr>
          <w:rFonts w:asciiTheme="minorHAnsi" w:eastAsia="Batang" w:hAnsiTheme="minorHAnsi"/>
          <w:sz w:val="18"/>
          <w:szCs w:val="18"/>
        </w:rPr>
        <w:t>Cenné papíry kolektivního investování</w:t>
      </w:r>
    </w:p>
    <w:p w:rsidR="0065667D" w:rsidRPr="000220A2" w:rsidRDefault="0065667D" w:rsidP="00A112ED">
      <w:pPr>
        <w:pStyle w:val="Nadpis21"/>
        <w:spacing w:after="120" w:line="240" w:lineRule="atLeast"/>
        <w:ind w:left="708"/>
        <w:jc w:val="both"/>
        <w:rPr>
          <w:rFonts w:asciiTheme="minorHAnsi" w:eastAsia="Batang" w:hAnsiTheme="minorHAnsi"/>
          <w:b w:val="0"/>
          <w:sz w:val="18"/>
          <w:szCs w:val="18"/>
        </w:rPr>
      </w:pPr>
      <w:r>
        <w:rPr>
          <w:rFonts w:asciiTheme="minorHAnsi" w:eastAsia="Batang" w:hAnsiTheme="minorHAnsi"/>
          <w:b w:val="0"/>
          <w:sz w:val="18"/>
          <w:szCs w:val="18"/>
        </w:rPr>
        <w:t xml:space="preserve">Cenné papíry kolektivního investování </w:t>
      </w:r>
      <w:r w:rsidRPr="00CD46AE">
        <w:rPr>
          <w:rFonts w:asciiTheme="minorHAnsi" w:eastAsia="Batang" w:hAnsiTheme="minorHAnsi"/>
          <w:b w:val="0"/>
          <w:sz w:val="18"/>
          <w:szCs w:val="18"/>
        </w:rPr>
        <w:t xml:space="preserve">jsou cenné papíry představující podíl na investičních fondech nebo zahraničních investičních </w:t>
      </w:r>
      <w:proofErr w:type="spellStart"/>
      <w:r w:rsidRPr="00CD46AE">
        <w:rPr>
          <w:rFonts w:asciiTheme="minorHAnsi" w:eastAsia="Batang" w:hAnsiTheme="minorHAnsi"/>
          <w:b w:val="0"/>
          <w:sz w:val="18"/>
          <w:szCs w:val="18"/>
        </w:rPr>
        <w:t>fondech</w:t>
      </w:r>
      <w:r>
        <w:rPr>
          <w:rFonts w:asciiTheme="minorHAnsi" w:eastAsia="Batang" w:hAnsiTheme="minorHAnsi"/>
          <w:b w:val="0"/>
          <w:sz w:val="18"/>
          <w:szCs w:val="18"/>
        </w:rPr>
        <w:t>ve</w:t>
      </w:r>
      <w:proofErr w:type="spellEnd"/>
      <w:r>
        <w:rPr>
          <w:rFonts w:asciiTheme="minorHAnsi" w:eastAsia="Batang" w:hAnsiTheme="minorHAnsi"/>
          <w:b w:val="0"/>
          <w:sz w:val="18"/>
          <w:szCs w:val="18"/>
        </w:rPr>
        <w:t xml:space="preserve"> smyslu</w:t>
      </w:r>
      <w:r w:rsidRPr="000220A2">
        <w:rPr>
          <w:rFonts w:asciiTheme="minorHAnsi" w:eastAsia="Batang" w:hAnsiTheme="minorHAnsi"/>
          <w:b w:val="0"/>
          <w:sz w:val="18"/>
          <w:szCs w:val="18"/>
        </w:rPr>
        <w:t xml:space="preserve"> zákona č. 240/2013 Sb., o investičních společnostech a investičních fondech (dále jen „</w:t>
      </w:r>
      <w:r w:rsidRPr="000220A2">
        <w:rPr>
          <w:rFonts w:asciiTheme="minorHAnsi" w:eastAsia="Batang" w:hAnsiTheme="minorHAnsi"/>
          <w:sz w:val="18"/>
          <w:szCs w:val="18"/>
        </w:rPr>
        <w:t>ZISIF</w:t>
      </w:r>
      <w:r w:rsidRPr="000220A2">
        <w:rPr>
          <w:rFonts w:asciiTheme="minorHAnsi" w:eastAsia="Batang" w:hAnsiTheme="minorHAnsi"/>
          <w:b w:val="0"/>
          <w:sz w:val="18"/>
          <w:szCs w:val="18"/>
        </w:rPr>
        <w:t>“)</w:t>
      </w:r>
      <w:r>
        <w:rPr>
          <w:rFonts w:asciiTheme="minorHAnsi" w:eastAsia="Batang" w:hAnsiTheme="minorHAnsi"/>
          <w:b w:val="0"/>
          <w:sz w:val="18"/>
          <w:szCs w:val="18"/>
        </w:rPr>
        <w:t>.</w:t>
      </w:r>
    </w:p>
    <w:p w:rsidR="0065667D" w:rsidRDefault="0065667D" w:rsidP="00A112ED">
      <w:pPr>
        <w:pStyle w:val="Nadpis21"/>
        <w:spacing w:after="120" w:line="240" w:lineRule="atLeast"/>
        <w:ind w:left="708"/>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Investiční fondy se dělí na fondy kolektivního investování a fondy kvalifikovaných investorů. Fondem kolektivního investování může být jednak akciová společnost, případně akciová společnost s proměnným základním kapitálem a jednak podílový fond. Fondy kolektivního investování lze dělit z různých hledisek. Pro investora je však klíčové členění fondů kolektivního investování na fondy standardní a fondy speciální. Standardní fond kolektivního investování i speciální fond kolektivního investování podléhají režimu ZISIF, liší se však především spektrem majetkových hodnot, do kterých </w:t>
      </w:r>
      <w:proofErr w:type="spellStart"/>
      <w:r w:rsidRPr="000220A2">
        <w:rPr>
          <w:rFonts w:asciiTheme="minorHAnsi" w:eastAsia="Batang" w:hAnsiTheme="minorHAnsi"/>
          <w:b w:val="0"/>
          <w:sz w:val="18"/>
          <w:szCs w:val="18"/>
        </w:rPr>
        <w:t>investují</w:t>
      </w:r>
      <w:r w:rsidRPr="002D0EE7">
        <w:rPr>
          <w:rFonts w:asciiTheme="minorHAnsi" w:eastAsia="Batang" w:hAnsiTheme="minorHAnsi"/>
          <w:b w:val="0"/>
          <w:sz w:val="18"/>
          <w:szCs w:val="18"/>
        </w:rPr>
        <w:t>a</w:t>
      </w:r>
      <w:proofErr w:type="spellEnd"/>
      <w:r w:rsidRPr="002D0EE7">
        <w:rPr>
          <w:rFonts w:asciiTheme="minorHAnsi" w:eastAsia="Batang" w:hAnsiTheme="minorHAnsi"/>
          <w:b w:val="0"/>
          <w:sz w:val="18"/>
          <w:szCs w:val="18"/>
        </w:rPr>
        <w:t xml:space="preserve"> okruhem organizačních forem, kterých mohou nabývat. Standardní fond kolektivního investování splňuje požadavky příslušné evropské směrnice a může existovat výhradně v podobě otevřeného podílového fondu nebo akciové společnosti s proměnným základním kapitálem, speciální fond kolektivního investování tyto požadavky nesplňuje a může být též uzavřeným podílovým fondem nebo běžnou akciovou společností</w:t>
      </w:r>
      <w:r w:rsidRPr="000220A2">
        <w:rPr>
          <w:rFonts w:asciiTheme="minorHAnsi" w:eastAsia="Batang" w:hAnsiTheme="minorHAnsi"/>
          <w:b w:val="0"/>
          <w:sz w:val="18"/>
          <w:szCs w:val="18"/>
        </w:rPr>
        <w:t xml:space="preserve">. Velmi praktické je pro investora i členění fondů kolektivního investování podle zaměření jejich investic, takto rozlišujeme fondy peněžního trhu, dluhopisové, akciové, smíšené, nemovitostní, fondů, atd. Specifickou skupinou investičních </w:t>
      </w:r>
      <w:proofErr w:type="spellStart"/>
      <w:r w:rsidRPr="000220A2">
        <w:rPr>
          <w:rFonts w:asciiTheme="minorHAnsi" w:eastAsia="Batang" w:hAnsiTheme="minorHAnsi"/>
          <w:b w:val="0"/>
          <w:sz w:val="18"/>
          <w:szCs w:val="18"/>
        </w:rPr>
        <w:t>fondů</w:t>
      </w:r>
      <w:r w:rsidRPr="002D0EE7">
        <w:rPr>
          <w:rFonts w:asciiTheme="minorHAnsi" w:eastAsia="Batang" w:hAnsiTheme="minorHAnsi"/>
          <w:b w:val="0"/>
          <w:sz w:val="18"/>
          <w:szCs w:val="18"/>
        </w:rPr>
        <w:t>odlišnou</w:t>
      </w:r>
      <w:proofErr w:type="spellEnd"/>
      <w:r w:rsidRPr="002D0EE7">
        <w:rPr>
          <w:rFonts w:asciiTheme="minorHAnsi" w:eastAsia="Batang" w:hAnsiTheme="minorHAnsi"/>
          <w:b w:val="0"/>
          <w:sz w:val="18"/>
          <w:szCs w:val="18"/>
        </w:rPr>
        <w:t xml:space="preserve"> od fondů kolektivního investování</w:t>
      </w:r>
      <w:r w:rsidRPr="000220A2">
        <w:rPr>
          <w:rFonts w:asciiTheme="minorHAnsi" w:eastAsia="Batang" w:hAnsiTheme="minorHAnsi"/>
          <w:b w:val="0"/>
          <w:sz w:val="18"/>
          <w:szCs w:val="18"/>
        </w:rPr>
        <w:t xml:space="preserve"> jsou pak fondy kvalifikovaných investorů. </w:t>
      </w:r>
      <w:r w:rsidRPr="002D0EE7">
        <w:rPr>
          <w:rFonts w:asciiTheme="minorHAnsi" w:eastAsia="Batang" w:hAnsiTheme="minorHAnsi"/>
          <w:b w:val="0"/>
          <w:sz w:val="18"/>
          <w:szCs w:val="18"/>
        </w:rPr>
        <w:t>Fondy kvalifikovaných investorů mohou nabývat celé řady organizačních forem a jsou určeny výhradně zkušeným investorům, jejichž investice do těchto fondů dosahuje zákonem stanovené minimální výše. Fondy kvalifikovaných investorů nejsou dle ZISIF ve srovnání s fondy kolektivního investování svázány tak přísnými pravidly rozložení investic, pravidly informování investora a dalšími, jsou proto vhodné k tzv. alternativním investicím</w:t>
      </w:r>
      <w:r>
        <w:rPr>
          <w:rFonts w:asciiTheme="minorHAnsi" w:eastAsia="Batang" w:hAnsiTheme="minorHAnsi"/>
          <w:b w:val="0"/>
          <w:sz w:val="18"/>
          <w:szCs w:val="18"/>
        </w:rPr>
        <w:t>.</w:t>
      </w:r>
    </w:p>
    <w:p w:rsidR="0065667D" w:rsidRPr="000220A2" w:rsidRDefault="0065667D" w:rsidP="00A112ED">
      <w:pPr>
        <w:pStyle w:val="Nadpis21"/>
        <w:spacing w:after="120" w:line="240" w:lineRule="atLeast"/>
        <w:ind w:left="708"/>
        <w:jc w:val="both"/>
        <w:rPr>
          <w:rFonts w:asciiTheme="minorHAnsi" w:eastAsia="Batang" w:hAnsiTheme="minorHAnsi"/>
          <w:b w:val="0"/>
          <w:sz w:val="18"/>
          <w:szCs w:val="18"/>
        </w:rPr>
      </w:pPr>
      <w:r>
        <w:rPr>
          <w:rFonts w:asciiTheme="minorHAnsi" w:eastAsia="Batang" w:hAnsiTheme="minorHAnsi"/>
          <w:b w:val="0"/>
          <w:sz w:val="18"/>
          <w:szCs w:val="18"/>
        </w:rPr>
        <w:t>Možný výnos konkrétního cenného papíru kolektivního investování je vždy spojen s investiční strategií investičního fondu, který dotčený cenný papír kolektivního investování vydal.</w:t>
      </w:r>
    </w:p>
    <w:p w:rsidR="0065667D" w:rsidRPr="000220A2" w:rsidRDefault="0065667D" w:rsidP="00A112ED">
      <w:pPr>
        <w:pStyle w:val="Nadpis21"/>
        <w:spacing w:after="120" w:line="240" w:lineRule="atLeast"/>
        <w:ind w:left="714"/>
        <w:jc w:val="both"/>
        <w:rPr>
          <w:rFonts w:asciiTheme="minorHAnsi" w:eastAsia="Batang" w:hAnsiTheme="minorHAnsi"/>
          <w:sz w:val="18"/>
          <w:szCs w:val="18"/>
          <w:u w:val="single"/>
        </w:rPr>
      </w:pPr>
      <w:r w:rsidRPr="000220A2">
        <w:rPr>
          <w:rFonts w:asciiTheme="minorHAnsi" w:eastAsia="Batang" w:hAnsiTheme="minorHAnsi"/>
          <w:sz w:val="18"/>
          <w:szCs w:val="18"/>
          <w:u w:val="single"/>
        </w:rPr>
        <w:t>Podílové listy</w:t>
      </w:r>
    </w:p>
    <w:p w:rsidR="0065667D" w:rsidRPr="000220A2" w:rsidRDefault="0065667D" w:rsidP="00A112ED">
      <w:pPr>
        <w:pStyle w:val="Nadpis21"/>
        <w:spacing w:after="120" w:line="240" w:lineRule="atLeast"/>
        <w:ind w:left="714"/>
        <w:jc w:val="both"/>
        <w:rPr>
          <w:rFonts w:asciiTheme="minorHAnsi" w:eastAsia="Batang" w:hAnsiTheme="minorHAnsi"/>
          <w:b w:val="0"/>
          <w:sz w:val="18"/>
          <w:szCs w:val="18"/>
        </w:rPr>
      </w:pPr>
      <w:r w:rsidRPr="000220A2">
        <w:rPr>
          <w:rFonts w:asciiTheme="minorHAnsi" w:eastAsia="Batang" w:hAnsiTheme="minorHAnsi"/>
          <w:b w:val="0"/>
          <w:sz w:val="18"/>
          <w:szCs w:val="18"/>
        </w:rPr>
        <w:lastRenderedPageBreak/>
        <w:t>Podílový list je cenný papír nebo zaknihovaný cenný papír, který představuje podíl podílníka na podílovém fondu a se kterým jsou spojena práva podílníka plynoucí ze ZISIF nebo ze statutu podílového fondu. Podílový fond nemá vlastní právní osobnost a je obhospodařován obhospodařovatelem. Podílové listy mohou být podle statutu podílového fondu různých druhů (např. podílové listy se zvláštními právy). Rozlišujeme následující podílové listy:</w:t>
      </w:r>
    </w:p>
    <w:p w:rsidR="0065667D" w:rsidRPr="000220A2" w:rsidRDefault="0065667D" w:rsidP="00A112ED">
      <w:pPr>
        <w:pStyle w:val="Nadpis21"/>
        <w:numPr>
          <w:ilvl w:val="0"/>
          <w:numId w:val="5"/>
        </w:numPr>
        <w:spacing w:after="120" w:line="240" w:lineRule="atLeast"/>
        <w:ind w:left="1071" w:hanging="357"/>
        <w:jc w:val="both"/>
        <w:rPr>
          <w:rFonts w:asciiTheme="minorHAnsi" w:eastAsia="Batang" w:hAnsiTheme="minorHAnsi"/>
          <w:sz w:val="18"/>
          <w:szCs w:val="18"/>
          <w:u w:val="single"/>
        </w:rPr>
      </w:pPr>
      <w:r w:rsidRPr="000220A2">
        <w:rPr>
          <w:rFonts w:asciiTheme="minorHAnsi" w:eastAsia="Batang" w:hAnsiTheme="minorHAnsi"/>
          <w:sz w:val="18"/>
          <w:szCs w:val="18"/>
          <w:u w:val="single"/>
        </w:rPr>
        <w:t>podílové listy otevřeného podílového fondu:</w:t>
      </w:r>
    </w:p>
    <w:p w:rsidR="0065667D" w:rsidRPr="000220A2" w:rsidRDefault="0065667D" w:rsidP="00C70711">
      <w:pPr>
        <w:pStyle w:val="Nadpis21"/>
        <w:numPr>
          <w:ilvl w:val="0"/>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otevřený podílový fond nemá omezený počet vydávaných podílových listů,</w:t>
      </w:r>
    </w:p>
    <w:p w:rsidR="0065667D" w:rsidRPr="000220A2" w:rsidRDefault="0065667D" w:rsidP="00C70711">
      <w:pPr>
        <w:pStyle w:val="Nadpis21"/>
        <w:numPr>
          <w:ilvl w:val="0"/>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administrátor otevřeného podílového fondu zajistí odkoupení podílového listu tohoto fondu za částku, která se rovná jeho aktuální hodnotě pro den, ke kterému obdržel žádost podílníka o odkoupení podílového listu; tato částka může být snížena o srážku uvedenou ve statutu,</w:t>
      </w:r>
    </w:p>
    <w:p w:rsidR="0065667D" w:rsidRPr="000220A2" w:rsidRDefault="0065667D" w:rsidP="002672C1">
      <w:pPr>
        <w:pStyle w:val="Nadpis21"/>
        <w:numPr>
          <w:ilvl w:val="0"/>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administrátor otevřeného podílového fondu zajistí odkoupení podílového listu tohoto fondu na účet tohoto podílového fondu </w:t>
      </w:r>
      <w:proofErr w:type="gramStart"/>
      <w:r w:rsidRPr="000220A2">
        <w:rPr>
          <w:rFonts w:asciiTheme="minorHAnsi" w:eastAsia="Batang" w:hAnsiTheme="minorHAnsi"/>
          <w:b w:val="0"/>
          <w:sz w:val="18"/>
          <w:szCs w:val="18"/>
        </w:rPr>
        <w:t>do</w:t>
      </w:r>
      <w:proofErr w:type="gramEnd"/>
      <w:r w:rsidRPr="000220A2">
        <w:rPr>
          <w:rFonts w:asciiTheme="minorHAnsi" w:eastAsia="Batang" w:hAnsiTheme="minorHAnsi"/>
          <w:b w:val="0"/>
          <w:sz w:val="18"/>
          <w:szCs w:val="18"/>
        </w:rPr>
        <w:t>:</w:t>
      </w:r>
    </w:p>
    <w:p w:rsidR="0065667D" w:rsidRPr="000220A2" w:rsidRDefault="0065667D" w:rsidP="002672C1">
      <w:pPr>
        <w:pStyle w:val="Nadpis21"/>
        <w:numPr>
          <w:ilvl w:val="1"/>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3 pracovních dnů, jde-li o otevřený podílový fond, který investuje jako fond peněžního trhu nebo jako krátkodobý fond peněžního trhu, </w:t>
      </w:r>
    </w:p>
    <w:p w:rsidR="0065667D" w:rsidRPr="000220A2" w:rsidRDefault="0065667D" w:rsidP="002672C1">
      <w:pPr>
        <w:pStyle w:val="Nadpis21"/>
        <w:numPr>
          <w:ilvl w:val="1"/>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2 týdnů, jde-li o standardní fond, </w:t>
      </w:r>
    </w:p>
    <w:p w:rsidR="0065667D" w:rsidRPr="000220A2" w:rsidRDefault="0065667D" w:rsidP="002672C1">
      <w:pPr>
        <w:pStyle w:val="Nadpis21"/>
        <w:numPr>
          <w:ilvl w:val="1"/>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 1 měsíce, jde-li o speciální fond, který neinvestuje do nemovitostí nebo účastí v nemovitostní společnosti,</w:t>
      </w:r>
    </w:p>
    <w:p w:rsidR="0065667D" w:rsidRPr="000220A2" w:rsidRDefault="0065667D" w:rsidP="002672C1">
      <w:pPr>
        <w:pStyle w:val="Nadpis21"/>
        <w:numPr>
          <w:ilvl w:val="1"/>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1 roku, jde-li o fond kvalifikovaných investorů, který neinvestuje do nemovitostí nebo účastí v nemovitostní společnosti,</w:t>
      </w:r>
    </w:p>
    <w:p w:rsidR="0065667D" w:rsidRPr="000220A2" w:rsidRDefault="0065667D" w:rsidP="002672C1">
      <w:pPr>
        <w:pStyle w:val="Nadpis21"/>
        <w:numPr>
          <w:ilvl w:val="1"/>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2 let, jde-li o investiční fond, který investuje do nemovitostí nebo účastí v nemovitostní společnosti, </w:t>
      </w:r>
    </w:p>
    <w:p w:rsidR="0065667D" w:rsidRPr="000220A2" w:rsidRDefault="0065667D" w:rsidP="00952C4E">
      <w:pPr>
        <w:pStyle w:val="Nadpis21"/>
        <w:spacing w:after="120" w:line="240" w:lineRule="atLeast"/>
        <w:ind w:left="712" w:firstLine="720"/>
        <w:jc w:val="both"/>
        <w:rPr>
          <w:rFonts w:asciiTheme="minorHAnsi" w:eastAsia="Batang" w:hAnsiTheme="minorHAnsi"/>
          <w:b w:val="0"/>
          <w:sz w:val="18"/>
          <w:szCs w:val="18"/>
        </w:rPr>
      </w:pPr>
      <w:r w:rsidRPr="000220A2">
        <w:rPr>
          <w:rFonts w:asciiTheme="minorHAnsi" w:eastAsia="Batang" w:hAnsiTheme="minorHAnsi"/>
          <w:b w:val="0"/>
          <w:sz w:val="18"/>
          <w:szCs w:val="18"/>
        </w:rPr>
        <w:t>pokud není obhospodařovatelem pozastaveno odkupování podílových listů,</w:t>
      </w:r>
    </w:p>
    <w:p w:rsidR="0065667D" w:rsidRPr="000220A2" w:rsidRDefault="0065667D" w:rsidP="00C70711">
      <w:pPr>
        <w:pStyle w:val="Nadpis21"/>
        <w:numPr>
          <w:ilvl w:val="0"/>
          <w:numId w:val="15"/>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mohou, ale nemusejí mít jmenovitou hodnotu.</w:t>
      </w:r>
    </w:p>
    <w:p w:rsidR="0065667D" w:rsidRPr="000220A2" w:rsidRDefault="0065667D" w:rsidP="00A112ED">
      <w:pPr>
        <w:pStyle w:val="Nadpis21"/>
        <w:numPr>
          <w:ilvl w:val="0"/>
          <w:numId w:val="5"/>
        </w:numPr>
        <w:spacing w:after="120" w:line="240" w:lineRule="atLeast"/>
        <w:ind w:left="1071" w:hanging="357"/>
        <w:jc w:val="both"/>
        <w:rPr>
          <w:rFonts w:asciiTheme="minorHAnsi" w:eastAsia="Batang" w:hAnsiTheme="minorHAnsi"/>
          <w:sz w:val="18"/>
          <w:szCs w:val="18"/>
          <w:u w:val="single"/>
        </w:rPr>
      </w:pPr>
      <w:r w:rsidRPr="000220A2">
        <w:rPr>
          <w:rFonts w:asciiTheme="minorHAnsi" w:eastAsia="Batang" w:hAnsiTheme="minorHAnsi"/>
          <w:sz w:val="18"/>
          <w:szCs w:val="18"/>
          <w:u w:val="single"/>
        </w:rPr>
        <w:t>podílové listy uzavřeného podílového fondu:</w:t>
      </w:r>
    </w:p>
    <w:p w:rsidR="0065667D" w:rsidRPr="000220A2" w:rsidRDefault="0065667D" w:rsidP="00C70711">
      <w:pPr>
        <w:pStyle w:val="Nadpis21"/>
        <w:numPr>
          <w:ilvl w:val="1"/>
          <w:numId w:val="16"/>
        </w:numPr>
        <w:spacing w:after="120" w:line="240" w:lineRule="atLeast"/>
        <w:ind w:left="1440"/>
        <w:jc w:val="both"/>
        <w:rPr>
          <w:rFonts w:asciiTheme="minorHAnsi" w:eastAsia="Batang" w:hAnsiTheme="minorHAnsi"/>
          <w:b w:val="0"/>
          <w:sz w:val="18"/>
          <w:szCs w:val="18"/>
        </w:rPr>
      </w:pPr>
      <w:r w:rsidRPr="000220A2">
        <w:rPr>
          <w:rFonts w:asciiTheme="minorHAnsi" w:eastAsia="Batang" w:hAnsiTheme="minorHAnsi"/>
          <w:b w:val="0"/>
          <w:sz w:val="18"/>
          <w:szCs w:val="18"/>
        </w:rPr>
        <w:t>uzavřený podílový fond má omezený počet vydávaných podílových listů,</w:t>
      </w:r>
    </w:p>
    <w:p w:rsidR="0065667D" w:rsidRPr="000220A2" w:rsidRDefault="0065667D" w:rsidP="00C70711">
      <w:pPr>
        <w:pStyle w:val="Nadpis21"/>
        <w:numPr>
          <w:ilvl w:val="0"/>
          <w:numId w:val="16"/>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s podílovým listem vydaným uzavřeným podílovým fondem není spojeno právo podílníka na jeho odkoupení na účet fondu (s výjimkami stanovenými ZISIF),</w:t>
      </w:r>
    </w:p>
    <w:p w:rsidR="0065667D" w:rsidRPr="000220A2" w:rsidRDefault="0065667D" w:rsidP="00C70711">
      <w:pPr>
        <w:pStyle w:val="Nadpis21"/>
        <w:numPr>
          <w:ilvl w:val="0"/>
          <w:numId w:val="16"/>
        </w:numPr>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musí mít jmenovitou hodnotu,</w:t>
      </w:r>
    </w:p>
    <w:p w:rsidR="0065667D" w:rsidRPr="000220A2" w:rsidRDefault="0065667D" w:rsidP="00560598">
      <w:pPr>
        <w:pStyle w:val="Odstavecseseznamem"/>
        <w:numPr>
          <w:ilvl w:val="0"/>
          <w:numId w:val="16"/>
        </w:numPr>
        <w:jc w:val="both"/>
        <w:rPr>
          <w:rFonts w:asciiTheme="minorHAnsi" w:eastAsia="Batang" w:hAnsiTheme="minorHAnsi"/>
        </w:rPr>
      </w:pPr>
      <w:r w:rsidRPr="000220A2">
        <w:rPr>
          <w:rFonts w:asciiTheme="minorHAnsi" w:eastAsia="Batang" w:hAnsiTheme="minorHAnsi"/>
        </w:rPr>
        <w:t>uzavřený podílový fond se vytváří na dobu určitou či neurčitou. Nerozhodne-li obhospodařovatel uzavřeného podílového fondu vytvořeného na dobu určitou do uplynutí této doby, zda tento podílový fond vstoupí do likvidace nebo se přemění na otevřený podílový fond nebo akciovou společnost s proměnným základním kapitálem, vstoupí podílový fond po uplynutí této doby do likvidace.</w:t>
      </w:r>
    </w:p>
    <w:p w:rsidR="0065667D" w:rsidRPr="000220A2" w:rsidRDefault="0065667D" w:rsidP="00A112ED">
      <w:pPr>
        <w:pStyle w:val="Nadpis21"/>
        <w:spacing w:after="120" w:line="240" w:lineRule="atLeast"/>
        <w:ind w:left="714"/>
        <w:jc w:val="both"/>
        <w:rPr>
          <w:rFonts w:asciiTheme="minorHAnsi" w:eastAsia="Batang" w:hAnsiTheme="minorHAnsi"/>
          <w:b w:val="0"/>
          <w:sz w:val="18"/>
          <w:szCs w:val="18"/>
        </w:rPr>
      </w:pPr>
    </w:p>
    <w:p w:rsidR="0065667D" w:rsidRPr="000220A2" w:rsidRDefault="0065667D" w:rsidP="00A112ED">
      <w:pPr>
        <w:pStyle w:val="Nadpis21"/>
        <w:spacing w:after="120" w:line="240" w:lineRule="atLeast"/>
        <w:ind w:left="714"/>
        <w:jc w:val="both"/>
        <w:rPr>
          <w:rFonts w:asciiTheme="minorHAnsi" w:eastAsia="Batang" w:hAnsiTheme="minorHAnsi"/>
          <w:sz w:val="18"/>
          <w:szCs w:val="18"/>
          <w:u w:val="single"/>
        </w:rPr>
      </w:pPr>
      <w:r w:rsidRPr="000220A2">
        <w:rPr>
          <w:rFonts w:asciiTheme="minorHAnsi" w:eastAsia="Batang" w:hAnsiTheme="minorHAnsi"/>
          <w:sz w:val="18"/>
          <w:szCs w:val="18"/>
          <w:u w:val="single"/>
        </w:rPr>
        <w:t>Akcie investičního fondu</w:t>
      </w:r>
      <w:r>
        <w:rPr>
          <w:rFonts w:asciiTheme="minorHAnsi" w:eastAsia="Batang" w:hAnsiTheme="minorHAnsi"/>
          <w:sz w:val="18"/>
          <w:szCs w:val="18"/>
          <w:u w:val="single"/>
        </w:rPr>
        <w:t>, včetně investičních akcií</w:t>
      </w:r>
    </w:p>
    <w:p w:rsidR="0065667D" w:rsidRDefault="0065667D" w:rsidP="007943F3">
      <w:pPr>
        <w:pStyle w:val="Nadpis21"/>
        <w:spacing w:after="120" w:line="240" w:lineRule="atLeast"/>
        <w:ind w:left="714"/>
        <w:jc w:val="both"/>
        <w:rPr>
          <w:rFonts w:asciiTheme="minorHAnsi" w:eastAsia="Batang" w:hAnsiTheme="minorHAnsi"/>
          <w:b w:val="0"/>
          <w:sz w:val="18"/>
          <w:szCs w:val="18"/>
        </w:rPr>
      </w:pPr>
      <w:r w:rsidRPr="000220A2">
        <w:rPr>
          <w:rFonts w:asciiTheme="minorHAnsi" w:eastAsia="Batang" w:hAnsiTheme="minorHAnsi"/>
          <w:b w:val="0"/>
          <w:sz w:val="18"/>
          <w:szCs w:val="18"/>
        </w:rPr>
        <w:t>Fond kolektivního investování ve formě akciové společnosti, resp. akciové společnosti s proměnným základním kapitálem je právnickou osobou, jejímž předmětem podnikání je shromažďování peněžních prostředků od veřejnosti vydáváním akcií, společné investování shromážděných peněžních prostředků na základě určené investiční strategie na principu rozložení rizika ve prospěch vlastníků těchto akcií a další správa tohoto majetku. Fond se zakládá na dobu určitou či neurčitou. Akcie investičního fondu je svojí podstatou akcie</w:t>
      </w:r>
      <w:r>
        <w:rPr>
          <w:rFonts w:asciiTheme="minorHAnsi" w:eastAsia="Batang" w:hAnsiTheme="minorHAnsi"/>
          <w:b w:val="0"/>
          <w:sz w:val="18"/>
          <w:szCs w:val="18"/>
        </w:rPr>
        <w:t xml:space="preserve"> jako</w:t>
      </w:r>
      <w:r w:rsidRPr="00F411A7">
        <w:rPr>
          <w:rFonts w:asciiTheme="minorHAnsi" w:eastAsia="Batang" w:hAnsiTheme="minorHAnsi"/>
          <w:b w:val="0"/>
          <w:sz w:val="18"/>
          <w:szCs w:val="18"/>
        </w:rPr>
        <w:t xml:space="preserve"> cenný papír nebo zaknihovaný cenný papír, s nímž jsou spojena práva akcionáře jako společníka podílet se na řízení, zisku a likvidačním zůstatku akciové společnosti</w:t>
      </w:r>
      <w:r>
        <w:rPr>
          <w:rFonts w:asciiTheme="minorHAnsi" w:eastAsia="Batang" w:hAnsiTheme="minorHAnsi"/>
          <w:b w:val="0"/>
          <w:sz w:val="18"/>
          <w:szCs w:val="18"/>
        </w:rPr>
        <w:t>,</w:t>
      </w:r>
      <w:r w:rsidRPr="000220A2">
        <w:rPr>
          <w:rFonts w:asciiTheme="minorHAnsi" w:eastAsia="Batang" w:hAnsiTheme="minorHAnsi"/>
          <w:b w:val="0"/>
          <w:sz w:val="18"/>
          <w:szCs w:val="18"/>
        </w:rPr>
        <w:t xml:space="preserve"> jejíž koupí se však investor podílí na investování fondu kolektivního investování.</w:t>
      </w:r>
      <w:r>
        <w:rPr>
          <w:rFonts w:asciiTheme="minorHAnsi" w:eastAsia="Batang" w:hAnsiTheme="minorHAnsi"/>
          <w:b w:val="0"/>
          <w:sz w:val="18"/>
          <w:szCs w:val="18"/>
        </w:rPr>
        <w:t xml:space="preserve"> Podoby akcie investičního fondu nebo investiční akcie může nabývat též podíl na fondu kvalifikovaných investorů.</w:t>
      </w:r>
    </w:p>
    <w:p w:rsidR="0065667D" w:rsidRPr="00F411A7" w:rsidRDefault="0065667D" w:rsidP="007943F3">
      <w:pPr>
        <w:pStyle w:val="Nadpis21"/>
        <w:spacing w:after="120" w:line="240" w:lineRule="atLeast"/>
        <w:ind w:left="714"/>
        <w:jc w:val="both"/>
        <w:rPr>
          <w:rFonts w:asciiTheme="minorHAnsi" w:eastAsia="Batang" w:hAnsiTheme="minorHAnsi"/>
          <w:sz w:val="18"/>
          <w:szCs w:val="18"/>
        </w:rPr>
      </w:pPr>
      <w:r w:rsidRPr="00F411A7">
        <w:rPr>
          <w:rFonts w:asciiTheme="minorHAnsi" w:eastAsia="Batang" w:hAnsiTheme="minorHAnsi"/>
          <w:sz w:val="18"/>
          <w:szCs w:val="18"/>
          <w:u w:val="single"/>
        </w:rPr>
        <w:t>Podíly na fondu kvalifikovaných investorů ve formě jiného cenného papíru</w:t>
      </w:r>
    </w:p>
    <w:p w:rsidR="0065667D" w:rsidRPr="00F411A7" w:rsidRDefault="0065667D" w:rsidP="007943F3">
      <w:pPr>
        <w:pStyle w:val="Nadpis21"/>
        <w:spacing w:after="120" w:line="240" w:lineRule="atLeast"/>
        <w:ind w:left="714"/>
        <w:jc w:val="both"/>
        <w:rPr>
          <w:rFonts w:asciiTheme="minorHAnsi" w:eastAsia="Batang" w:hAnsiTheme="minorHAnsi"/>
          <w:b w:val="0"/>
          <w:sz w:val="18"/>
          <w:szCs w:val="18"/>
        </w:rPr>
      </w:pPr>
      <w:r w:rsidRPr="00F411A7">
        <w:rPr>
          <w:rFonts w:asciiTheme="minorHAnsi" w:eastAsia="Batang" w:hAnsiTheme="minorHAnsi"/>
          <w:b w:val="0"/>
          <w:sz w:val="18"/>
          <w:szCs w:val="18"/>
        </w:rPr>
        <w:t>Tato souhrnná kategorie zahrnuje podíly na fondu kvalifikovaných investorů, jestliže jsou představovány cenným papírem či zaknihovaným cenným papírem odlišným od cenných papírů uvedených výše. Jedná se zejména o kmenové listy a investiční listy investičních fondů ve formě společnosti s ručením omezeným. Další informace o těchto cenných papírech budou Zprostředkovatelem zákazníkovi sděleny na požádání</w:t>
      </w:r>
      <w:r>
        <w:rPr>
          <w:rFonts w:asciiTheme="minorHAnsi" w:eastAsia="Batang" w:hAnsiTheme="minorHAnsi"/>
          <w:b w:val="0"/>
          <w:sz w:val="18"/>
          <w:szCs w:val="18"/>
        </w:rPr>
        <w:t>.</w:t>
      </w:r>
    </w:p>
    <w:p w:rsidR="0065667D" w:rsidRPr="000220A2" w:rsidRDefault="0065667D" w:rsidP="009F2F83">
      <w:pPr>
        <w:pStyle w:val="Nadpis21"/>
        <w:spacing w:line="240" w:lineRule="atLeast"/>
        <w:ind w:left="1072"/>
        <w:jc w:val="both"/>
        <w:rPr>
          <w:rFonts w:asciiTheme="minorHAnsi" w:eastAsia="Batang" w:hAnsiTheme="minorHAnsi"/>
          <w:b w:val="0"/>
          <w:sz w:val="18"/>
          <w:szCs w:val="18"/>
        </w:rPr>
      </w:pPr>
    </w:p>
    <w:p w:rsidR="0065667D" w:rsidRDefault="0065667D" w:rsidP="009F2F83">
      <w:pPr>
        <w:pStyle w:val="Nadpis1"/>
        <w:numPr>
          <w:ilvl w:val="0"/>
          <w:numId w:val="1"/>
        </w:numPr>
        <w:spacing w:before="0" w:after="0" w:line="240" w:lineRule="atLeast"/>
        <w:ind w:left="714" w:hanging="714"/>
        <w:rPr>
          <w:rFonts w:asciiTheme="minorHAnsi" w:eastAsia="Batang" w:hAnsiTheme="minorHAnsi"/>
          <w:sz w:val="22"/>
          <w:szCs w:val="22"/>
        </w:rPr>
      </w:pPr>
      <w:r>
        <w:rPr>
          <w:rFonts w:asciiTheme="minorHAnsi" w:eastAsia="Batang" w:hAnsiTheme="minorHAnsi"/>
          <w:sz w:val="22"/>
          <w:szCs w:val="22"/>
        </w:rPr>
        <w:t>Navrhované strategie investování</w:t>
      </w:r>
    </w:p>
    <w:p w:rsidR="0065667D" w:rsidRPr="009F2F83" w:rsidRDefault="0065667D" w:rsidP="009F2F83">
      <w:pPr>
        <w:rPr>
          <w:rFonts w:eastAsia="Batang"/>
        </w:rPr>
      </w:pPr>
    </w:p>
    <w:p w:rsidR="0065667D" w:rsidRDefault="0065667D" w:rsidP="00115BD2">
      <w:pPr>
        <w:ind w:left="714"/>
        <w:rPr>
          <w:rFonts w:asciiTheme="minorHAnsi" w:eastAsia="Batang" w:hAnsiTheme="minorHAnsi"/>
        </w:rPr>
      </w:pPr>
      <w:r>
        <w:rPr>
          <w:rFonts w:asciiTheme="minorHAnsi" w:eastAsia="Batang" w:hAnsiTheme="minorHAnsi"/>
        </w:rPr>
        <w:t>Bližší informace o strategiích investování jsou obsaženy ve zvláštním dokumentu, zpracovaném Zprostředkovatelem nebo Finanční institucí. Rizika související se strategiemi investování plynou z rizik spojených s jednotlivými investičními nástroji zahrnutými v dané strategii investování.</w:t>
      </w:r>
    </w:p>
    <w:p w:rsidR="0065667D" w:rsidRPr="00115BD2" w:rsidRDefault="0065667D" w:rsidP="00115BD2">
      <w:pPr>
        <w:ind w:left="714"/>
        <w:rPr>
          <w:rFonts w:asciiTheme="minorHAnsi" w:eastAsia="Batang" w:hAnsiTheme="minorHAnsi"/>
        </w:rPr>
      </w:pPr>
    </w:p>
    <w:p w:rsidR="0065667D" w:rsidRPr="000220A2" w:rsidRDefault="0065667D" w:rsidP="00A112ED">
      <w:pPr>
        <w:pStyle w:val="Nadpis1"/>
        <w:numPr>
          <w:ilvl w:val="0"/>
          <w:numId w:val="1"/>
        </w:numPr>
        <w:spacing w:before="0" w:after="360" w:line="240" w:lineRule="atLeast"/>
        <w:ind w:left="714" w:hanging="714"/>
        <w:rPr>
          <w:rFonts w:asciiTheme="minorHAnsi" w:eastAsia="Batang" w:hAnsiTheme="minorHAnsi"/>
          <w:sz w:val="22"/>
          <w:szCs w:val="22"/>
        </w:rPr>
      </w:pPr>
      <w:r w:rsidRPr="000220A2">
        <w:rPr>
          <w:rFonts w:asciiTheme="minorHAnsi" w:eastAsia="Batang" w:hAnsiTheme="minorHAnsi"/>
          <w:sz w:val="22"/>
          <w:szCs w:val="22"/>
        </w:rPr>
        <w:t>Rizika související s investičními nástroji</w:t>
      </w:r>
      <w:r>
        <w:rPr>
          <w:rFonts w:asciiTheme="minorHAnsi" w:eastAsia="Batang" w:hAnsiTheme="minorHAnsi"/>
          <w:sz w:val="22"/>
          <w:szCs w:val="22"/>
        </w:rPr>
        <w:t xml:space="preserve"> a strategiemi investování,</w:t>
      </w:r>
      <w:r w:rsidRPr="000220A2">
        <w:rPr>
          <w:rFonts w:asciiTheme="minorHAnsi" w:eastAsia="Batang" w:hAnsiTheme="minorHAnsi"/>
          <w:sz w:val="22"/>
          <w:szCs w:val="22"/>
        </w:rPr>
        <w:t xml:space="preserve"> a možnost zajištění proti nim</w:t>
      </w:r>
    </w:p>
    <w:p w:rsidR="0065667D" w:rsidRPr="000220A2" w:rsidRDefault="0065667D" w:rsidP="00C1275B">
      <w:pPr>
        <w:pStyle w:val="Nadpis21"/>
        <w:numPr>
          <w:ilvl w:val="1"/>
          <w:numId w:val="1"/>
        </w:numPr>
        <w:spacing w:after="240" w:line="240" w:lineRule="atLeast"/>
        <w:ind w:left="714" w:hanging="714"/>
        <w:jc w:val="both"/>
        <w:rPr>
          <w:rFonts w:asciiTheme="minorHAnsi" w:eastAsia="Batang" w:hAnsiTheme="minorHAnsi"/>
          <w:sz w:val="20"/>
          <w:szCs w:val="20"/>
        </w:rPr>
      </w:pPr>
      <w:r w:rsidRPr="000220A2">
        <w:rPr>
          <w:rFonts w:asciiTheme="minorHAnsi" w:eastAsia="Batang" w:hAnsiTheme="minorHAnsi"/>
          <w:sz w:val="20"/>
          <w:szCs w:val="20"/>
        </w:rPr>
        <w:t>Obecně o rizicích</w:t>
      </w:r>
    </w:p>
    <w:p w:rsidR="0065667D" w:rsidRPr="000220A2" w:rsidRDefault="0065667D" w:rsidP="00C1275B">
      <w:pPr>
        <w:pStyle w:val="Nadpis21"/>
        <w:numPr>
          <w:ilvl w:val="2"/>
          <w:numId w:val="1"/>
        </w:numPr>
        <w:spacing w:after="120" w:line="240" w:lineRule="atLeast"/>
        <w:ind w:left="714" w:hanging="714"/>
        <w:jc w:val="both"/>
        <w:rPr>
          <w:rFonts w:asciiTheme="minorHAnsi" w:eastAsia="Batang" w:hAnsiTheme="minorHAnsi"/>
          <w:b w:val="0"/>
          <w:sz w:val="18"/>
          <w:szCs w:val="18"/>
        </w:rPr>
      </w:pPr>
      <w:r w:rsidRPr="000220A2">
        <w:rPr>
          <w:rFonts w:asciiTheme="minorHAnsi" w:eastAsia="Batang" w:hAnsiTheme="minorHAnsi"/>
          <w:b w:val="0"/>
          <w:sz w:val="18"/>
          <w:szCs w:val="18"/>
        </w:rPr>
        <w:t>S investičními nástroji</w:t>
      </w:r>
      <w:r>
        <w:rPr>
          <w:rFonts w:asciiTheme="minorHAnsi" w:eastAsia="Batang" w:hAnsiTheme="minorHAnsi"/>
          <w:b w:val="0"/>
          <w:sz w:val="18"/>
          <w:szCs w:val="18"/>
        </w:rPr>
        <w:t>, strategiemi investování</w:t>
      </w:r>
      <w:r w:rsidRPr="000220A2">
        <w:rPr>
          <w:rFonts w:asciiTheme="minorHAnsi" w:eastAsia="Batang" w:hAnsiTheme="minorHAnsi"/>
          <w:b w:val="0"/>
          <w:sz w:val="18"/>
          <w:szCs w:val="18"/>
        </w:rPr>
        <w:t xml:space="preserve"> a s investičními službami, které Zprostředkovatel poskytuje, je spojena celá řada rizik. V obecné rovině se jedná zejména o rizika následující:</w:t>
      </w:r>
    </w:p>
    <w:p w:rsidR="0065667D" w:rsidRPr="000220A2" w:rsidRDefault="0065667D" w:rsidP="00C1275B">
      <w:pPr>
        <w:pStyle w:val="Nadpis21"/>
        <w:numPr>
          <w:ilvl w:val="0"/>
          <w:numId w:val="7"/>
        </w:numPr>
        <w:spacing w:after="120" w:line="240" w:lineRule="atLeast"/>
        <w:ind w:left="1071" w:hanging="357"/>
        <w:jc w:val="both"/>
        <w:rPr>
          <w:rFonts w:asciiTheme="minorHAnsi" w:eastAsia="Batang" w:hAnsiTheme="minorHAnsi"/>
          <w:b w:val="0"/>
          <w:sz w:val="18"/>
          <w:szCs w:val="18"/>
          <w:u w:val="single"/>
        </w:rPr>
      </w:pPr>
      <w:r w:rsidRPr="000220A2">
        <w:rPr>
          <w:rFonts w:asciiTheme="minorHAnsi" w:eastAsia="Batang" w:hAnsiTheme="minorHAnsi"/>
          <w:sz w:val="18"/>
          <w:szCs w:val="18"/>
          <w:u w:val="single"/>
        </w:rPr>
        <w:t>tržní riziko</w:t>
      </w:r>
      <w:r w:rsidRPr="000220A2">
        <w:rPr>
          <w:rFonts w:asciiTheme="minorHAnsi" w:eastAsia="Batang" w:hAnsiTheme="minorHAnsi"/>
          <w:b w:val="0"/>
          <w:sz w:val="18"/>
          <w:szCs w:val="18"/>
        </w:rPr>
        <w:t xml:space="preserve"> – jedná se o jedno z nejvýznamnějších rizik pro investory, které spočívá ve změně</w:t>
      </w:r>
      <w:r>
        <w:rPr>
          <w:rFonts w:asciiTheme="minorHAnsi" w:eastAsia="Batang" w:hAnsiTheme="minorHAnsi"/>
          <w:b w:val="0"/>
          <w:sz w:val="18"/>
          <w:szCs w:val="18"/>
        </w:rPr>
        <w:t>/volatilitě</w:t>
      </w:r>
      <w:r w:rsidRPr="000220A2">
        <w:rPr>
          <w:rFonts w:asciiTheme="minorHAnsi" w:eastAsia="Batang" w:hAnsiTheme="minorHAnsi"/>
          <w:b w:val="0"/>
          <w:sz w:val="18"/>
          <w:szCs w:val="18"/>
        </w:rPr>
        <w:t xml:space="preserve"> tržních cen investičních nástrojů; obecné tržní riziko může být způsobeno změnou trhu jako celku, specifické tržní riziko může být zapříčiněno nepříznivým vývojem konkrétního investičního nástroje;</w:t>
      </w:r>
    </w:p>
    <w:p w:rsidR="0065667D" w:rsidRPr="000220A2" w:rsidRDefault="0065667D" w:rsidP="00C1275B">
      <w:pPr>
        <w:pStyle w:val="Nadpis21"/>
        <w:numPr>
          <w:ilvl w:val="0"/>
          <w:numId w:val="7"/>
        </w:numPr>
        <w:spacing w:after="120" w:line="240" w:lineRule="atLeast"/>
        <w:ind w:left="1071" w:hanging="357"/>
        <w:jc w:val="both"/>
        <w:rPr>
          <w:rFonts w:asciiTheme="minorHAnsi" w:eastAsia="Batang" w:hAnsiTheme="minorHAnsi"/>
          <w:b w:val="0"/>
          <w:sz w:val="18"/>
          <w:szCs w:val="18"/>
          <w:u w:val="single"/>
        </w:rPr>
      </w:pPr>
      <w:r w:rsidRPr="000220A2">
        <w:rPr>
          <w:rFonts w:asciiTheme="minorHAnsi" w:eastAsia="Batang" w:hAnsiTheme="minorHAnsi"/>
          <w:sz w:val="18"/>
          <w:szCs w:val="18"/>
          <w:u w:val="single"/>
        </w:rPr>
        <w:t>úvěrové (kreditní) riziko</w:t>
      </w:r>
      <w:r w:rsidRPr="000220A2">
        <w:rPr>
          <w:rFonts w:asciiTheme="minorHAnsi" w:eastAsia="Batang" w:hAnsiTheme="minorHAnsi"/>
          <w:b w:val="0"/>
          <w:sz w:val="18"/>
          <w:szCs w:val="18"/>
        </w:rPr>
        <w:t xml:space="preserve"> – jedná se o riziko emitenta spočívající v tom, že se emitent dostane do úpadku, následkem čehož budou jím emitované investiční nástroje významně znehodnoceny nebo zcela bezcenné; v takovém případě musí investor počítat s tím, že může ztratit i veškerý kapitál investovaný do těchto investičních nástrojů; negativní vliv na hodnotu investičních nástrojů může mít i snížení ratingu emitenta;</w:t>
      </w:r>
    </w:p>
    <w:p w:rsidR="0065667D" w:rsidRPr="000220A2" w:rsidRDefault="0065667D" w:rsidP="00C1275B">
      <w:pPr>
        <w:pStyle w:val="Nadpis21"/>
        <w:numPr>
          <w:ilvl w:val="0"/>
          <w:numId w:val="7"/>
        </w:numPr>
        <w:spacing w:after="120" w:line="240" w:lineRule="atLeast"/>
        <w:ind w:left="1071" w:hanging="357"/>
        <w:jc w:val="both"/>
        <w:rPr>
          <w:rFonts w:asciiTheme="minorHAnsi" w:eastAsia="Batang" w:hAnsiTheme="minorHAnsi"/>
          <w:b w:val="0"/>
          <w:sz w:val="18"/>
          <w:szCs w:val="18"/>
          <w:u w:val="single"/>
        </w:rPr>
      </w:pPr>
      <w:proofErr w:type="spellStart"/>
      <w:r w:rsidRPr="000220A2">
        <w:rPr>
          <w:rFonts w:asciiTheme="minorHAnsi" w:eastAsia="Batang" w:hAnsiTheme="minorHAnsi"/>
          <w:sz w:val="18"/>
          <w:szCs w:val="18"/>
          <w:u w:val="single"/>
        </w:rPr>
        <w:t>likviditní</w:t>
      </w:r>
      <w:proofErr w:type="spellEnd"/>
      <w:r w:rsidRPr="000220A2">
        <w:rPr>
          <w:rFonts w:asciiTheme="minorHAnsi" w:eastAsia="Batang" w:hAnsiTheme="minorHAnsi"/>
          <w:sz w:val="18"/>
          <w:szCs w:val="18"/>
          <w:u w:val="single"/>
        </w:rPr>
        <w:t xml:space="preserve"> riziko</w:t>
      </w:r>
      <w:r w:rsidRPr="000220A2">
        <w:rPr>
          <w:rFonts w:asciiTheme="minorHAnsi" w:eastAsia="Batang" w:hAnsiTheme="minorHAnsi"/>
          <w:b w:val="0"/>
          <w:sz w:val="18"/>
          <w:szCs w:val="18"/>
        </w:rPr>
        <w:t xml:space="preserve"> – v důsledku tohoto rizika může dojít k tomu, že investor nebude moci </w:t>
      </w:r>
      <w:r>
        <w:rPr>
          <w:rFonts w:asciiTheme="minorHAnsi" w:eastAsia="Batang" w:hAnsiTheme="minorHAnsi"/>
          <w:b w:val="0"/>
          <w:sz w:val="18"/>
          <w:szCs w:val="18"/>
        </w:rPr>
        <w:t xml:space="preserve">v určitý okamžik </w:t>
      </w:r>
      <w:r w:rsidRPr="000220A2">
        <w:rPr>
          <w:rFonts w:asciiTheme="minorHAnsi" w:eastAsia="Batang" w:hAnsiTheme="minorHAnsi"/>
          <w:b w:val="0"/>
          <w:sz w:val="18"/>
          <w:szCs w:val="18"/>
        </w:rPr>
        <w:t xml:space="preserve">prodat určitý investiční nástroj za tržní cenu (resp. za cenu blízkou tržní ceně) </w:t>
      </w:r>
      <w:r>
        <w:rPr>
          <w:rFonts w:asciiTheme="minorHAnsi" w:eastAsia="Batang" w:hAnsiTheme="minorHAnsi"/>
          <w:b w:val="0"/>
          <w:sz w:val="18"/>
          <w:szCs w:val="18"/>
        </w:rPr>
        <w:t xml:space="preserve">nebo vůbec, </w:t>
      </w:r>
      <w:r w:rsidRPr="000220A2">
        <w:rPr>
          <w:rFonts w:asciiTheme="minorHAnsi" w:eastAsia="Batang" w:hAnsiTheme="minorHAnsi"/>
          <w:b w:val="0"/>
          <w:sz w:val="18"/>
          <w:szCs w:val="18"/>
        </w:rPr>
        <w:t>a to z důvodu malého objemu trhu s daným investičním nástrojem</w:t>
      </w:r>
      <w:r>
        <w:rPr>
          <w:rFonts w:asciiTheme="minorHAnsi" w:eastAsia="Batang" w:hAnsiTheme="minorHAnsi"/>
          <w:b w:val="0"/>
          <w:sz w:val="18"/>
          <w:szCs w:val="18"/>
        </w:rPr>
        <w:t xml:space="preserve"> nebo nedostupnosti takového trhu.  </w:t>
      </w:r>
      <w:proofErr w:type="spellStart"/>
      <w:r>
        <w:rPr>
          <w:rFonts w:asciiTheme="minorHAnsi" w:eastAsia="Batang" w:hAnsiTheme="minorHAnsi"/>
          <w:b w:val="0"/>
          <w:sz w:val="18"/>
          <w:szCs w:val="18"/>
        </w:rPr>
        <w:t>Likviditní</w:t>
      </w:r>
      <w:proofErr w:type="spellEnd"/>
      <w:r>
        <w:rPr>
          <w:rFonts w:asciiTheme="minorHAnsi" w:eastAsia="Batang" w:hAnsiTheme="minorHAnsi"/>
          <w:b w:val="0"/>
          <w:sz w:val="18"/>
          <w:szCs w:val="18"/>
        </w:rPr>
        <w:t xml:space="preserve"> riziko nastává také u investičních</w:t>
      </w:r>
      <w:r w:rsidRPr="0092334B">
        <w:rPr>
          <w:rFonts w:asciiTheme="minorHAnsi" w:eastAsia="Batang" w:hAnsiTheme="minorHAnsi"/>
          <w:b w:val="0"/>
          <w:sz w:val="18"/>
          <w:szCs w:val="18"/>
        </w:rPr>
        <w:t xml:space="preserve"> nástrojů</w:t>
      </w:r>
      <w:r>
        <w:rPr>
          <w:rFonts w:asciiTheme="minorHAnsi" w:eastAsia="Batang" w:hAnsiTheme="minorHAnsi"/>
          <w:b w:val="0"/>
          <w:sz w:val="18"/>
          <w:szCs w:val="18"/>
        </w:rPr>
        <w:t xml:space="preserve"> a strategií investování</w:t>
      </w:r>
      <w:r w:rsidRPr="0092334B">
        <w:rPr>
          <w:rFonts w:asciiTheme="minorHAnsi" w:eastAsia="Batang" w:hAnsiTheme="minorHAnsi"/>
          <w:b w:val="0"/>
          <w:sz w:val="18"/>
          <w:szCs w:val="18"/>
        </w:rPr>
        <w:t xml:space="preserve"> s pevně stanoveným termínem investice</w:t>
      </w:r>
      <w:r>
        <w:rPr>
          <w:rFonts w:asciiTheme="minorHAnsi" w:eastAsia="Batang" w:hAnsiTheme="minorHAnsi"/>
          <w:b w:val="0"/>
          <w:sz w:val="18"/>
          <w:szCs w:val="18"/>
        </w:rPr>
        <w:t>/dobou splatnosti. Předčasný prodej investičního nástroje nebo investičních nástrojů v rámci strategie investování v takovém případě nemusí být možný buď vůbec, nebo pouze s  finanční ztrátou na straně investora emitentovi takového investičního nástroje nebo investorem samostatně nalezené protistraně. V případě předčasného prodeje investičních nástrojů může dojít ke ztrátě také vlivem krátké doby investice, která nepostačí k zajištění návratnosti</w:t>
      </w:r>
      <w:r w:rsidRPr="006F5AAF">
        <w:rPr>
          <w:rFonts w:asciiTheme="minorHAnsi" w:eastAsia="Batang" w:hAnsiTheme="minorHAnsi"/>
          <w:b w:val="0"/>
          <w:sz w:val="18"/>
          <w:szCs w:val="18"/>
        </w:rPr>
        <w:t xml:space="preserve"> počáteční</w:t>
      </w:r>
      <w:r>
        <w:rPr>
          <w:rFonts w:asciiTheme="minorHAnsi" w:eastAsia="Batang" w:hAnsiTheme="minorHAnsi"/>
          <w:b w:val="0"/>
          <w:sz w:val="18"/>
          <w:szCs w:val="18"/>
        </w:rPr>
        <w:t>ch</w:t>
      </w:r>
      <w:r w:rsidRPr="006F5AAF">
        <w:rPr>
          <w:rFonts w:asciiTheme="minorHAnsi" w:eastAsia="Batang" w:hAnsiTheme="minorHAnsi"/>
          <w:b w:val="0"/>
          <w:sz w:val="18"/>
          <w:szCs w:val="18"/>
        </w:rPr>
        <w:t xml:space="preserve"> náklad</w:t>
      </w:r>
      <w:r>
        <w:rPr>
          <w:rFonts w:asciiTheme="minorHAnsi" w:eastAsia="Batang" w:hAnsiTheme="minorHAnsi"/>
          <w:b w:val="0"/>
          <w:sz w:val="18"/>
          <w:szCs w:val="18"/>
        </w:rPr>
        <w:t>ů</w:t>
      </w:r>
      <w:r w:rsidRPr="006F5AAF">
        <w:rPr>
          <w:rFonts w:asciiTheme="minorHAnsi" w:eastAsia="Batang" w:hAnsiTheme="minorHAnsi"/>
          <w:b w:val="0"/>
          <w:sz w:val="18"/>
          <w:szCs w:val="18"/>
        </w:rPr>
        <w:t xml:space="preserve"> na </w:t>
      </w:r>
      <w:r>
        <w:rPr>
          <w:rFonts w:asciiTheme="minorHAnsi" w:eastAsia="Batang" w:hAnsiTheme="minorHAnsi"/>
          <w:b w:val="0"/>
          <w:sz w:val="18"/>
          <w:szCs w:val="18"/>
        </w:rPr>
        <w:t>investici do tohoto typu investičních nástrojů nebo na zvolenou strategii investování;</w:t>
      </w:r>
    </w:p>
    <w:p w:rsidR="0065667D" w:rsidRPr="000220A2" w:rsidRDefault="0065667D" w:rsidP="00C1275B">
      <w:pPr>
        <w:pStyle w:val="Nadpis21"/>
        <w:numPr>
          <w:ilvl w:val="0"/>
          <w:numId w:val="7"/>
        </w:numPr>
        <w:spacing w:after="120" w:line="240" w:lineRule="atLeast"/>
        <w:ind w:left="1071" w:hanging="357"/>
        <w:jc w:val="both"/>
        <w:rPr>
          <w:rFonts w:asciiTheme="minorHAnsi" w:eastAsia="Batang" w:hAnsiTheme="minorHAnsi"/>
          <w:b w:val="0"/>
          <w:sz w:val="18"/>
          <w:szCs w:val="18"/>
          <w:u w:val="single"/>
        </w:rPr>
      </w:pPr>
      <w:r w:rsidRPr="000220A2">
        <w:rPr>
          <w:rFonts w:asciiTheme="minorHAnsi" w:eastAsia="Batang" w:hAnsiTheme="minorHAnsi"/>
          <w:sz w:val="18"/>
          <w:szCs w:val="18"/>
          <w:u w:val="single"/>
        </w:rPr>
        <w:t>měnové riziko</w:t>
      </w:r>
      <w:r w:rsidRPr="000220A2">
        <w:rPr>
          <w:rFonts w:asciiTheme="minorHAnsi" w:eastAsia="Batang" w:hAnsiTheme="minorHAnsi"/>
          <w:b w:val="0"/>
          <w:sz w:val="18"/>
          <w:szCs w:val="18"/>
        </w:rPr>
        <w:t xml:space="preserve"> – investiční nástroje denominované v cizích měnách jsou rovněž vystaveny fluktuacím vyplývajícím ze změn devizových kurzů, které mohou mít jak pozitivní tak i negativní vliv na jejich kurzy, ceny, zhodnocení či výnosy z nich plynoucí v jiných měnách, popřípadě jejich jiné parametry;</w:t>
      </w:r>
    </w:p>
    <w:p w:rsidR="0065667D" w:rsidRPr="000220A2" w:rsidRDefault="0065667D" w:rsidP="00C1275B">
      <w:pPr>
        <w:pStyle w:val="Nadpis21"/>
        <w:numPr>
          <w:ilvl w:val="0"/>
          <w:numId w:val="7"/>
        </w:numPr>
        <w:spacing w:after="120" w:line="240" w:lineRule="atLeast"/>
        <w:ind w:left="1071" w:hanging="357"/>
        <w:jc w:val="both"/>
        <w:rPr>
          <w:rFonts w:asciiTheme="minorHAnsi" w:eastAsia="Batang" w:hAnsiTheme="minorHAnsi"/>
          <w:b w:val="0"/>
          <w:sz w:val="18"/>
          <w:szCs w:val="18"/>
          <w:u w:val="single"/>
        </w:rPr>
      </w:pPr>
      <w:r w:rsidRPr="000220A2">
        <w:rPr>
          <w:rFonts w:asciiTheme="minorHAnsi" w:eastAsia="Batang" w:hAnsiTheme="minorHAnsi"/>
          <w:sz w:val="18"/>
          <w:szCs w:val="18"/>
          <w:u w:val="single"/>
        </w:rPr>
        <w:t>úrokové riziko</w:t>
      </w:r>
      <w:r w:rsidRPr="000220A2">
        <w:rPr>
          <w:rFonts w:asciiTheme="minorHAnsi" w:eastAsia="Batang" w:hAnsiTheme="minorHAnsi"/>
          <w:b w:val="0"/>
          <w:sz w:val="18"/>
          <w:szCs w:val="18"/>
        </w:rPr>
        <w:t xml:space="preserve"> – u investičních nástrojů citlivých na úrokové sazby (např. dluhopisy) je patrné úrokové riziko, které spočívá v možném nepříznivém vývoji tržních úrokových sazeb;</w:t>
      </w:r>
    </w:p>
    <w:p w:rsidR="0065667D" w:rsidRPr="000220A2" w:rsidRDefault="0065667D" w:rsidP="00C1275B">
      <w:pPr>
        <w:pStyle w:val="Nadpis21"/>
        <w:numPr>
          <w:ilvl w:val="0"/>
          <w:numId w:val="7"/>
        </w:numPr>
        <w:spacing w:after="120" w:line="240" w:lineRule="atLeast"/>
        <w:ind w:left="1071" w:hanging="357"/>
        <w:jc w:val="both"/>
        <w:rPr>
          <w:rFonts w:asciiTheme="minorHAnsi" w:eastAsia="Batang" w:hAnsiTheme="minorHAnsi"/>
          <w:b w:val="0"/>
          <w:sz w:val="18"/>
          <w:szCs w:val="18"/>
          <w:u w:val="single"/>
        </w:rPr>
      </w:pPr>
      <w:r w:rsidRPr="000220A2">
        <w:rPr>
          <w:rFonts w:asciiTheme="minorHAnsi" w:eastAsia="Batang" w:hAnsiTheme="minorHAnsi"/>
          <w:sz w:val="18"/>
          <w:szCs w:val="18"/>
          <w:u w:val="single"/>
        </w:rPr>
        <w:t>operační riziko</w:t>
      </w:r>
      <w:r w:rsidRPr="000220A2">
        <w:rPr>
          <w:rFonts w:asciiTheme="minorHAnsi" w:eastAsia="Batang" w:hAnsiTheme="minorHAnsi"/>
          <w:b w:val="0"/>
          <w:sz w:val="18"/>
          <w:szCs w:val="18"/>
        </w:rPr>
        <w:t xml:space="preserve"> – riziko vyplývající z nedostatečných či chybných vnitřních procesů, ze selhání provozních systémů či lidského faktoru, případně z vnějších událostí;</w:t>
      </w:r>
    </w:p>
    <w:p w:rsidR="0065667D" w:rsidRPr="0004277F" w:rsidRDefault="0065667D" w:rsidP="00C1275B">
      <w:pPr>
        <w:pStyle w:val="Nadpis21"/>
        <w:numPr>
          <w:ilvl w:val="0"/>
          <w:numId w:val="7"/>
        </w:numPr>
        <w:spacing w:after="120" w:line="240" w:lineRule="atLeast"/>
        <w:ind w:left="1071" w:hanging="357"/>
        <w:jc w:val="both"/>
        <w:rPr>
          <w:rFonts w:asciiTheme="minorHAnsi" w:eastAsia="Batang" w:hAnsiTheme="minorHAnsi"/>
          <w:b w:val="0"/>
          <w:sz w:val="18"/>
          <w:szCs w:val="18"/>
          <w:u w:val="single"/>
        </w:rPr>
      </w:pPr>
      <w:r w:rsidRPr="000220A2">
        <w:rPr>
          <w:rFonts w:asciiTheme="minorHAnsi" w:eastAsia="Batang" w:hAnsiTheme="minorHAnsi"/>
          <w:sz w:val="18"/>
          <w:szCs w:val="18"/>
          <w:u w:val="single"/>
        </w:rPr>
        <w:t>riziko ztráty majetku svěřeného do úschovy nebo jiného opatrování</w:t>
      </w:r>
      <w:r w:rsidRPr="000220A2">
        <w:rPr>
          <w:rFonts w:asciiTheme="minorHAnsi" w:eastAsia="Batang" w:hAnsiTheme="minorHAnsi"/>
          <w:b w:val="0"/>
          <w:sz w:val="18"/>
          <w:szCs w:val="18"/>
        </w:rPr>
        <w:t xml:space="preserve"> – toto riziko může být zapříčiněno zejména insolventností, nedbalostním nebo úmyslným jednáním osoby, která má v úschově nebo jiném opatrování investiční nástroje investora;</w:t>
      </w:r>
    </w:p>
    <w:p w:rsidR="0065667D" w:rsidRPr="000220A2" w:rsidRDefault="0065667D" w:rsidP="00C1275B">
      <w:pPr>
        <w:pStyle w:val="Nadpis21"/>
        <w:numPr>
          <w:ilvl w:val="2"/>
          <w:numId w:val="1"/>
        </w:numPr>
        <w:spacing w:after="120" w:line="240" w:lineRule="atLeast"/>
        <w:ind w:left="714" w:hanging="714"/>
        <w:jc w:val="both"/>
        <w:rPr>
          <w:rFonts w:asciiTheme="minorHAnsi" w:eastAsia="Batang" w:hAnsiTheme="minorHAnsi"/>
          <w:b w:val="0"/>
          <w:sz w:val="18"/>
          <w:szCs w:val="18"/>
        </w:rPr>
      </w:pPr>
      <w:r w:rsidRPr="000220A2">
        <w:rPr>
          <w:rFonts w:asciiTheme="minorHAnsi" w:eastAsia="Batang" w:hAnsiTheme="minorHAnsi"/>
          <w:b w:val="0"/>
          <w:sz w:val="18"/>
          <w:szCs w:val="18"/>
        </w:rPr>
        <w:t>Výše zmíněná obecná rizika rozhodně nepředstavují úplný katalog rizik souvisejících s investičními nástroji a investičními službami Zprostředkovatele. Jedná se jen o nejčastější a nejznámější rizika</w:t>
      </w:r>
      <w:r>
        <w:rPr>
          <w:rFonts w:asciiTheme="minorHAnsi" w:eastAsia="Batang" w:hAnsiTheme="minorHAnsi"/>
          <w:b w:val="0"/>
          <w:sz w:val="18"/>
          <w:szCs w:val="18"/>
        </w:rPr>
        <w:t>, která mohou způsobit i úplnou ztrátu investovaných prostředků</w:t>
      </w:r>
      <w:r w:rsidRPr="000220A2">
        <w:rPr>
          <w:rFonts w:asciiTheme="minorHAnsi" w:eastAsia="Batang" w:hAnsiTheme="minorHAnsi"/>
          <w:b w:val="0"/>
          <w:sz w:val="18"/>
          <w:szCs w:val="18"/>
        </w:rPr>
        <w:t>. V následujících částech budou charakterizována specifická rizika týkající se jednotlivých investičních nástrojů</w:t>
      </w:r>
      <w:r>
        <w:rPr>
          <w:rFonts w:asciiTheme="minorHAnsi" w:eastAsia="Batang" w:hAnsiTheme="minorHAnsi"/>
          <w:b w:val="0"/>
          <w:sz w:val="18"/>
          <w:szCs w:val="18"/>
        </w:rPr>
        <w:t xml:space="preserve"> resp.</w:t>
      </w:r>
      <w:r w:rsidRPr="000220A2">
        <w:rPr>
          <w:rFonts w:asciiTheme="minorHAnsi" w:eastAsia="Batang" w:hAnsiTheme="minorHAnsi"/>
          <w:b w:val="0"/>
          <w:sz w:val="18"/>
          <w:szCs w:val="18"/>
        </w:rPr>
        <w:t xml:space="preserve"> související</w:t>
      </w:r>
      <w:r>
        <w:rPr>
          <w:rFonts w:asciiTheme="minorHAnsi" w:eastAsia="Batang" w:hAnsiTheme="minorHAnsi"/>
          <w:b w:val="0"/>
          <w:sz w:val="18"/>
          <w:szCs w:val="18"/>
        </w:rPr>
        <w:t xml:space="preserve">ch investičních </w:t>
      </w:r>
      <w:r w:rsidRPr="000220A2">
        <w:rPr>
          <w:rFonts w:asciiTheme="minorHAnsi" w:eastAsia="Batang" w:hAnsiTheme="minorHAnsi"/>
          <w:b w:val="0"/>
          <w:sz w:val="18"/>
          <w:szCs w:val="18"/>
        </w:rPr>
        <w:t>služ</w:t>
      </w:r>
      <w:r>
        <w:rPr>
          <w:rFonts w:asciiTheme="minorHAnsi" w:eastAsia="Batang" w:hAnsiTheme="minorHAnsi"/>
          <w:b w:val="0"/>
          <w:sz w:val="18"/>
          <w:szCs w:val="18"/>
        </w:rPr>
        <w:t>e</w:t>
      </w:r>
      <w:r w:rsidRPr="000220A2">
        <w:rPr>
          <w:rFonts w:asciiTheme="minorHAnsi" w:eastAsia="Batang" w:hAnsiTheme="minorHAnsi"/>
          <w:b w:val="0"/>
          <w:sz w:val="18"/>
          <w:szCs w:val="18"/>
        </w:rPr>
        <w:t>b.</w:t>
      </w:r>
    </w:p>
    <w:p w:rsidR="0065667D" w:rsidRPr="000220A2" w:rsidRDefault="0065667D" w:rsidP="00C1275B">
      <w:pPr>
        <w:pStyle w:val="Nadpis21"/>
        <w:numPr>
          <w:ilvl w:val="2"/>
          <w:numId w:val="1"/>
        </w:numPr>
        <w:spacing w:after="240" w:line="240" w:lineRule="atLeast"/>
        <w:ind w:left="714" w:hanging="714"/>
        <w:jc w:val="both"/>
        <w:rPr>
          <w:rFonts w:asciiTheme="minorHAnsi" w:eastAsia="Batang" w:hAnsiTheme="minorHAnsi"/>
          <w:b w:val="0"/>
          <w:sz w:val="18"/>
          <w:szCs w:val="18"/>
        </w:rPr>
      </w:pPr>
      <w:r w:rsidRPr="000220A2">
        <w:rPr>
          <w:rFonts w:asciiTheme="minorHAnsi" w:eastAsia="Batang" w:hAnsiTheme="minorHAnsi"/>
          <w:b w:val="0"/>
          <w:sz w:val="18"/>
          <w:szCs w:val="18"/>
        </w:rPr>
        <w:t>Informace o možném zajištění proti rizikům budou uvedeny u informace o rizicích souvisejících s jednotlivými investičními nástroji a jednotlivými investičními službami.</w:t>
      </w:r>
    </w:p>
    <w:p w:rsidR="0065667D" w:rsidRPr="000220A2" w:rsidRDefault="0065667D" w:rsidP="00C1275B">
      <w:pPr>
        <w:pStyle w:val="Nadpis21"/>
        <w:numPr>
          <w:ilvl w:val="1"/>
          <w:numId w:val="1"/>
        </w:numPr>
        <w:spacing w:after="240" w:line="240" w:lineRule="atLeast"/>
        <w:ind w:left="714" w:hanging="714"/>
        <w:jc w:val="both"/>
        <w:rPr>
          <w:rFonts w:asciiTheme="minorHAnsi" w:eastAsia="Batang" w:hAnsiTheme="minorHAnsi"/>
          <w:sz w:val="20"/>
          <w:szCs w:val="20"/>
        </w:rPr>
      </w:pPr>
      <w:r w:rsidRPr="000220A2">
        <w:rPr>
          <w:rFonts w:asciiTheme="minorHAnsi" w:eastAsia="Batang" w:hAnsiTheme="minorHAnsi"/>
          <w:sz w:val="20"/>
          <w:szCs w:val="20"/>
        </w:rPr>
        <w:t>Rizika související s  investičními nástroji</w:t>
      </w:r>
      <w:r>
        <w:rPr>
          <w:rFonts w:asciiTheme="minorHAnsi" w:eastAsia="Batang" w:hAnsiTheme="minorHAnsi"/>
          <w:sz w:val="20"/>
          <w:szCs w:val="20"/>
        </w:rPr>
        <w:t>, ke kterým Zprostředkovatel poskytuje investiční služby, a možnosti jejich zajištění</w:t>
      </w:r>
    </w:p>
    <w:p w:rsidR="0065667D" w:rsidRPr="000220A2" w:rsidRDefault="0065667D" w:rsidP="000220A2">
      <w:pPr>
        <w:pStyle w:val="Nadpis21"/>
        <w:numPr>
          <w:ilvl w:val="2"/>
          <w:numId w:val="1"/>
        </w:numPr>
        <w:spacing w:after="120" w:line="240" w:lineRule="atLeast"/>
        <w:ind w:left="714" w:hanging="714"/>
        <w:jc w:val="both"/>
        <w:rPr>
          <w:rFonts w:asciiTheme="minorHAnsi" w:eastAsia="Batang" w:hAnsiTheme="minorHAnsi"/>
          <w:sz w:val="18"/>
          <w:szCs w:val="18"/>
        </w:rPr>
      </w:pPr>
      <w:r w:rsidRPr="000220A2">
        <w:rPr>
          <w:rFonts w:asciiTheme="minorHAnsi" w:eastAsia="Batang" w:hAnsiTheme="minorHAnsi"/>
          <w:sz w:val="18"/>
          <w:szCs w:val="18"/>
        </w:rPr>
        <w:lastRenderedPageBreak/>
        <w:t>Cenné papíry kolektivního investování – rizika a jejich zajištění</w:t>
      </w:r>
    </w:p>
    <w:p w:rsidR="0065667D" w:rsidRPr="000220A2" w:rsidRDefault="0065667D" w:rsidP="000220A2">
      <w:pPr>
        <w:pStyle w:val="Nadpis21"/>
        <w:spacing w:after="120" w:line="240" w:lineRule="atLeast"/>
        <w:ind w:left="708"/>
        <w:jc w:val="both"/>
        <w:rPr>
          <w:rFonts w:asciiTheme="minorHAnsi" w:eastAsia="Batang" w:hAnsiTheme="minorHAnsi"/>
          <w:b w:val="0"/>
          <w:sz w:val="18"/>
          <w:szCs w:val="18"/>
        </w:rPr>
      </w:pPr>
      <w:r w:rsidRPr="000220A2">
        <w:rPr>
          <w:rFonts w:asciiTheme="minorHAnsi" w:eastAsia="Batang" w:hAnsiTheme="minorHAnsi"/>
          <w:b w:val="0"/>
          <w:sz w:val="18"/>
          <w:szCs w:val="18"/>
        </w:rPr>
        <w:t>Rizika u cenných papírů kolektivního investování vyplývají</w:t>
      </w:r>
      <w:r>
        <w:rPr>
          <w:rFonts w:asciiTheme="minorHAnsi" w:eastAsia="Batang" w:hAnsiTheme="minorHAnsi"/>
          <w:b w:val="0"/>
          <w:sz w:val="18"/>
          <w:szCs w:val="18"/>
        </w:rPr>
        <w:t xml:space="preserve"> především</w:t>
      </w:r>
      <w:r w:rsidRPr="000220A2">
        <w:rPr>
          <w:rFonts w:asciiTheme="minorHAnsi" w:eastAsia="Batang" w:hAnsiTheme="minorHAnsi"/>
          <w:b w:val="0"/>
          <w:sz w:val="18"/>
          <w:szCs w:val="18"/>
        </w:rPr>
        <w:t xml:space="preserve"> z rizik investičních nástrojů, do kterých investiční fond investuje. Např. u akciových investičních fondů by měl investor zvážit rizika související s akciemi. S investicemi do cenných papírů kolektivního investování jsou však spojena i některá specifická rizika, např. riziko zrušení fondu. V důsledku zrušení fondu může dojít k tomu, že investice nebude trvat celou dobu doporučeného investičního horizontu, což může mít negativní dopad na předpokládaný výnos z této </w:t>
      </w:r>
      <w:proofErr w:type="gramStart"/>
      <w:r w:rsidRPr="000220A2">
        <w:rPr>
          <w:rFonts w:asciiTheme="minorHAnsi" w:eastAsia="Batang" w:hAnsiTheme="minorHAnsi"/>
          <w:b w:val="0"/>
          <w:sz w:val="18"/>
          <w:szCs w:val="18"/>
        </w:rPr>
        <w:t>investice.</w:t>
      </w:r>
      <w:r w:rsidRPr="004F514B">
        <w:rPr>
          <w:rFonts w:asciiTheme="minorHAnsi" w:eastAsia="Batang" w:hAnsiTheme="minorHAnsi"/>
          <w:b w:val="0"/>
          <w:sz w:val="18"/>
          <w:szCs w:val="18"/>
        </w:rPr>
        <w:t>Specifická</w:t>
      </w:r>
      <w:proofErr w:type="gramEnd"/>
      <w:r w:rsidRPr="004F514B">
        <w:rPr>
          <w:rFonts w:asciiTheme="minorHAnsi" w:eastAsia="Batang" w:hAnsiTheme="minorHAnsi"/>
          <w:b w:val="0"/>
          <w:sz w:val="18"/>
          <w:szCs w:val="18"/>
        </w:rPr>
        <w:t xml:space="preserve"> rizika jsou dále spojena s kategorií fondů kvalifikovaných investorů. Jedná se především o riziko vyplývající z nedostatečné diverzifikace aktiv, do kterých tento fond investuje a riziko vyplývající z nižší míry regulace oproti fondům kolektivního investování.</w:t>
      </w:r>
    </w:p>
    <w:p w:rsidR="0065667D" w:rsidRPr="000220A2" w:rsidRDefault="0065667D" w:rsidP="000220A2">
      <w:pPr>
        <w:pStyle w:val="Nadpis21"/>
        <w:spacing w:after="120" w:line="240" w:lineRule="atLeast"/>
        <w:ind w:left="708"/>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Investorům je nezbytné doporučit, aby si před investicí do cenných papírů kolektivního investování důkladně pročetli statut a </w:t>
      </w:r>
      <w:r>
        <w:rPr>
          <w:rFonts w:asciiTheme="minorHAnsi" w:eastAsia="Batang" w:hAnsiTheme="minorHAnsi"/>
          <w:b w:val="0"/>
          <w:sz w:val="18"/>
          <w:szCs w:val="18"/>
        </w:rPr>
        <w:t>sdělení klíčových informací</w:t>
      </w:r>
      <w:r w:rsidRPr="000220A2">
        <w:rPr>
          <w:rFonts w:asciiTheme="minorHAnsi" w:eastAsia="Batang" w:hAnsiTheme="minorHAnsi"/>
          <w:b w:val="0"/>
          <w:sz w:val="18"/>
          <w:szCs w:val="18"/>
        </w:rPr>
        <w:t xml:space="preserve"> fondu, kde naleznou všechny potřebné informace týkající se zejména investiční strategie a limitů investiční politiky fondu.</w:t>
      </w:r>
    </w:p>
    <w:p w:rsidR="0065667D" w:rsidRPr="000220A2" w:rsidRDefault="0065667D" w:rsidP="00C1275B">
      <w:pPr>
        <w:pStyle w:val="Nadpis21"/>
        <w:numPr>
          <w:ilvl w:val="2"/>
          <w:numId w:val="1"/>
        </w:numPr>
        <w:spacing w:after="120" w:line="240" w:lineRule="atLeast"/>
        <w:ind w:left="714" w:hanging="714"/>
        <w:jc w:val="both"/>
        <w:rPr>
          <w:rFonts w:asciiTheme="minorHAnsi" w:eastAsia="Batang" w:hAnsiTheme="minorHAnsi"/>
          <w:sz w:val="18"/>
          <w:szCs w:val="18"/>
        </w:rPr>
      </w:pPr>
      <w:r w:rsidRPr="000220A2">
        <w:rPr>
          <w:rFonts w:asciiTheme="minorHAnsi" w:eastAsia="Batang" w:hAnsiTheme="minorHAnsi"/>
          <w:sz w:val="18"/>
          <w:szCs w:val="18"/>
        </w:rPr>
        <w:t>Dluhopisy – rizika a jejich zajištění</w:t>
      </w:r>
    </w:p>
    <w:p w:rsidR="0065667D" w:rsidRPr="000220A2" w:rsidRDefault="0065667D" w:rsidP="00C1275B">
      <w:pPr>
        <w:pStyle w:val="Nadpis21"/>
        <w:spacing w:after="120" w:line="240" w:lineRule="atLeast"/>
        <w:ind w:left="708"/>
        <w:jc w:val="both"/>
        <w:rPr>
          <w:rFonts w:asciiTheme="minorHAnsi" w:eastAsia="Batang" w:hAnsiTheme="minorHAnsi"/>
          <w:b w:val="0"/>
          <w:sz w:val="18"/>
          <w:szCs w:val="18"/>
        </w:rPr>
      </w:pPr>
      <w:r w:rsidRPr="000220A2">
        <w:rPr>
          <w:rFonts w:asciiTheme="minorHAnsi" w:eastAsia="Batang" w:hAnsiTheme="minorHAnsi"/>
          <w:b w:val="0"/>
          <w:sz w:val="18"/>
          <w:szCs w:val="18"/>
        </w:rPr>
        <w:t xml:space="preserve">V případě dluhopisů nebo jiných dluhových investičních nástrojů je nejmarkantnější riziko kreditní a úrokové. Kreditní riziko závisí na emitentovi dluhopisu. V případě, že je emitentem </w:t>
      </w:r>
      <w:r>
        <w:rPr>
          <w:rFonts w:asciiTheme="minorHAnsi" w:eastAsia="Batang" w:hAnsiTheme="minorHAnsi"/>
          <w:b w:val="0"/>
          <w:sz w:val="18"/>
          <w:szCs w:val="18"/>
        </w:rPr>
        <w:t>Česká republika</w:t>
      </w:r>
      <w:r w:rsidRPr="000220A2">
        <w:rPr>
          <w:rFonts w:asciiTheme="minorHAnsi" w:eastAsia="Batang" w:hAnsiTheme="minorHAnsi"/>
          <w:b w:val="0"/>
          <w:sz w:val="18"/>
          <w:szCs w:val="18"/>
        </w:rPr>
        <w:t xml:space="preserve">, je toto riziko minimální. Naopak v případě, že je emitentem dluhopisu obchodní společnost, může být toto riziko velmi vysoké. Úrokové riziko u dluhopisů spočívá ve změně tržních úrokových sazeb, a to v závislosti na splatnosti dluhopisu. Další riziko spojené s dluhopisy je riziko </w:t>
      </w:r>
      <w:proofErr w:type="spellStart"/>
      <w:r w:rsidRPr="000220A2">
        <w:rPr>
          <w:rFonts w:asciiTheme="minorHAnsi" w:eastAsia="Batang" w:hAnsiTheme="minorHAnsi"/>
          <w:b w:val="0"/>
          <w:sz w:val="18"/>
          <w:szCs w:val="18"/>
        </w:rPr>
        <w:t>likviditní</w:t>
      </w:r>
      <w:proofErr w:type="spellEnd"/>
      <w:r w:rsidRPr="000220A2">
        <w:rPr>
          <w:rFonts w:asciiTheme="minorHAnsi" w:eastAsia="Batang" w:hAnsiTheme="minorHAnsi"/>
          <w:b w:val="0"/>
          <w:sz w:val="18"/>
          <w:szCs w:val="18"/>
        </w:rPr>
        <w:t>, které nastává v případě, že dluhopis není obchodován na sekundárním trhu, nebo v případě, že je dluhopis emitován v malém objemu. Pokud je dluhopis emitován v jiné měně než tuzemské, musí investor počítat i s rizikem měnovým. Tržní riziko u dluhopisů je nižší než u akcií.</w:t>
      </w:r>
    </w:p>
    <w:p w:rsidR="0065667D" w:rsidRDefault="0065667D" w:rsidP="00C1275B">
      <w:pPr>
        <w:pStyle w:val="Nadpis21"/>
        <w:spacing w:after="120" w:line="240" w:lineRule="atLeast"/>
        <w:ind w:left="708"/>
        <w:jc w:val="both"/>
        <w:rPr>
          <w:rFonts w:asciiTheme="minorHAnsi" w:eastAsia="Batang" w:hAnsiTheme="minorHAnsi"/>
          <w:b w:val="0"/>
          <w:sz w:val="18"/>
          <w:szCs w:val="18"/>
        </w:rPr>
      </w:pPr>
      <w:r w:rsidRPr="000220A2">
        <w:rPr>
          <w:rFonts w:asciiTheme="minorHAnsi" w:eastAsia="Batang" w:hAnsiTheme="minorHAnsi"/>
          <w:b w:val="0"/>
          <w:sz w:val="18"/>
          <w:szCs w:val="18"/>
        </w:rPr>
        <w:t>Kreditní riziko může investor eliminovat tím, že investuje do dluhopisů</w:t>
      </w:r>
      <w:r>
        <w:rPr>
          <w:rFonts w:asciiTheme="minorHAnsi" w:eastAsia="Batang" w:hAnsiTheme="minorHAnsi"/>
          <w:b w:val="0"/>
          <w:sz w:val="18"/>
          <w:szCs w:val="18"/>
        </w:rPr>
        <w:t xml:space="preserve"> vydaných Českou republikou</w:t>
      </w:r>
      <w:r w:rsidRPr="000220A2">
        <w:rPr>
          <w:rFonts w:asciiTheme="minorHAnsi" w:eastAsia="Batang" w:hAnsiTheme="minorHAnsi"/>
          <w:b w:val="0"/>
          <w:sz w:val="18"/>
          <w:szCs w:val="18"/>
        </w:rPr>
        <w:t xml:space="preserve">, kde se kreditní riziko blíží nule. U ostatních dluhopisů je možno snížit kreditní riziko výběrem emitenta s vysokým ratingem (alespoň v investičním stupni). Pro případ, že investor nehodlá dluhopis držet do splatnosti, lze investorovi doporučit investici do dluhopisu, který lze prodat na sekundárním trhu, čímž výrazně sníží </w:t>
      </w:r>
      <w:proofErr w:type="spellStart"/>
      <w:r w:rsidRPr="000220A2">
        <w:rPr>
          <w:rFonts w:asciiTheme="minorHAnsi" w:eastAsia="Batang" w:hAnsiTheme="minorHAnsi"/>
          <w:b w:val="0"/>
          <w:sz w:val="18"/>
          <w:szCs w:val="18"/>
        </w:rPr>
        <w:t>likviditní</w:t>
      </w:r>
      <w:proofErr w:type="spellEnd"/>
      <w:r w:rsidRPr="000220A2">
        <w:rPr>
          <w:rFonts w:asciiTheme="minorHAnsi" w:eastAsia="Batang" w:hAnsiTheme="minorHAnsi"/>
          <w:b w:val="0"/>
          <w:sz w:val="18"/>
          <w:szCs w:val="18"/>
        </w:rPr>
        <w:t xml:space="preserve"> riziko. Měnové riziko u dluhopisů je možno vyloučit investováním pouze do dluhopisů denominovaných v CZK nebo snížit pomocí měnového zajištění. V souvislosti s omezením úrokového rizika lze investorovi doporučit, aby volbu mezi dluhopisem, jehož výnos je navázán na tržní úrokovou sazbu, a dluhopisem, jehož výnos je fixní, prováděl na základě svého očekávání vývoje tržních úrokových sazeb.</w:t>
      </w:r>
    </w:p>
    <w:p w:rsidR="0065667D" w:rsidRDefault="0065667D" w:rsidP="00F3429D">
      <w:pPr>
        <w:pStyle w:val="Nadpis1"/>
        <w:numPr>
          <w:ilvl w:val="0"/>
          <w:numId w:val="1"/>
        </w:numPr>
        <w:spacing w:before="0" w:after="0" w:line="240" w:lineRule="atLeast"/>
        <w:ind w:left="714" w:hanging="714"/>
        <w:rPr>
          <w:rFonts w:asciiTheme="minorHAnsi" w:eastAsia="Batang" w:hAnsiTheme="minorHAnsi"/>
          <w:sz w:val="22"/>
          <w:szCs w:val="22"/>
        </w:rPr>
      </w:pPr>
      <w:r w:rsidRPr="000220A2">
        <w:rPr>
          <w:rFonts w:asciiTheme="minorHAnsi" w:eastAsia="Batang" w:hAnsiTheme="minorHAnsi"/>
          <w:sz w:val="22"/>
          <w:szCs w:val="22"/>
        </w:rPr>
        <w:t>Obecná upozornění</w:t>
      </w:r>
    </w:p>
    <w:p w:rsidR="0065667D" w:rsidRPr="00F3429D" w:rsidRDefault="0065667D" w:rsidP="00F3429D">
      <w:pPr>
        <w:rPr>
          <w:rFonts w:eastAsia="Batang"/>
        </w:rPr>
      </w:pPr>
    </w:p>
    <w:p w:rsidR="0065667D" w:rsidRPr="000220A2" w:rsidRDefault="0065667D" w:rsidP="00C1275B">
      <w:pPr>
        <w:pStyle w:val="Nadpis21"/>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Zprostředkovatel upozorňuje, že kurzy, ceny, výnosy, zhodnocení, výkonnost či jiné parametry dosažené jednotlivými investičními nástroji v minulosti nemohou v žádném případě sloužit jako indikátor nebo záruka budoucích kurzů, cen, výnosů, zhodnocení, výkonnosti či jiných parametrů takovýchto nebo obdobných investičních nástrojů a tyto kurzy, ceny, výnosy, zhodnocení, výkonnost či jiné parametry investičních nástrojů se mohou v čase měnit, tzn. růst a klesat; návratnost původně investované částky není zaručena.</w:t>
      </w:r>
    </w:p>
    <w:p w:rsidR="0065667D" w:rsidRDefault="0065667D" w:rsidP="009371F5">
      <w:pPr>
        <w:pStyle w:val="Nadpis21"/>
        <w:spacing w:after="120" w:line="240" w:lineRule="atLeast"/>
        <w:jc w:val="both"/>
        <w:rPr>
          <w:rFonts w:asciiTheme="minorHAnsi" w:eastAsia="Batang" w:hAnsiTheme="minorHAnsi"/>
          <w:b w:val="0"/>
          <w:sz w:val="18"/>
          <w:szCs w:val="18"/>
        </w:rPr>
      </w:pPr>
      <w:r w:rsidRPr="000220A2">
        <w:rPr>
          <w:rFonts w:asciiTheme="minorHAnsi" w:eastAsia="Batang" w:hAnsiTheme="minorHAnsi"/>
          <w:b w:val="0"/>
          <w:sz w:val="18"/>
          <w:szCs w:val="18"/>
        </w:rPr>
        <w:t>Další informace o poskytovaných službách, investičních nástrojích,</w:t>
      </w:r>
      <w:r>
        <w:rPr>
          <w:rFonts w:asciiTheme="minorHAnsi" w:eastAsia="Batang" w:hAnsiTheme="minorHAnsi"/>
          <w:b w:val="0"/>
          <w:sz w:val="18"/>
          <w:szCs w:val="18"/>
        </w:rPr>
        <w:t xml:space="preserve"> strategiích investování,</w:t>
      </w:r>
      <w:r w:rsidRPr="000220A2">
        <w:rPr>
          <w:rFonts w:asciiTheme="minorHAnsi" w:eastAsia="Batang" w:hAnsiTheme="minorHAnsi"/>
          <w:b w:val="0"/>
          <w:sz w:val="18"/>
          <w:szCs w:val="18"/>
        </w:rPr>
        <w:t xml:space="preserve"> rizicích s nimi spojených a možných zajištěních proti nim jsou uvedeny v</w:t>
      </w:r>
      <w:r>
        <w:rPr>
          <w:rFonts w:asciiTheme="minorHAnsi" w:eastAsia="Batang" w:hAnsiTheme="minorHAnsi"/>
          <w:b w:val="0"/>
          <w:sz w:val="18"/>
          <w:szCs w:val="18"/>
        </w:rPr>
        <w:t> </w:t>
      </w:r>
      <w:r w:rsidRPr="000220A2">
        <w:rPr>
          <w:rFonts w:asciiTheme="minorHAnsi" w:eastAsia="Batang" w:hAnsiTheme="minorHAnsi"/>
          <w:b w:val="0"/>
          <w:sz w:val="18"/>
          <w:szCs w:val="18"/>
        </w:rPr>
        <w:t>prospektech</w:t>
      </w:r>
      <w:r>
        <w:rPr>
          <w:rFonts w:asciiTheme="minorHAnsi" w:eastAsia="Batang" w:hAnsiTheme="minorHAnsi"/>
          <w:b w:val="0"/>
          <w:sz w:val="18"/>
          <w:szCs w:val="18"/>
        </w:rPr>
        <w:t>/statutech/sděleních klíčových informací</w:t>
      </w:r>
      <w:r w:rsidRPr="000220A2">
        <w:rPr>
          <w:rFonts w:asciiTheme="minorHAnsi" w:eastAsia="Batang" w:hAnsiTheme="minorHAnsi"/>
          <w:b w:val="0"/>
          <w:sz w:val="18"/>
          <w:szCs w:val="18"/>
        </w:rPr>
        <w:t xml:space="preserve"> jednotlivých investičních nástrojů a na internetových stránkách příslušné Finanční instituce.</w:t>
      </w:r>
    </w:p>
    <w:p w:rsidR="0065667D" w:rsidRDefault="0065667D" w:rsidP="009F5F8C">
      <w:pPr>
        <w:spacing w:after="120" w:line="240" w:lineRule="atLeast"/>
        <w:ind w:left="1071"/>
        <w:jc w:val="both"/>
        <w:rPr>
          <w:rFonts w:asciiTheme="minorHAnsi" w:eastAsia="Batang" w:hAnsiTheme="minorHAnsi"/>
          <w:szCs w:val="18"/>
        </w:rPr>
      </w:pPr>
    </w:p>
    <w:p w:rsidR="0065667D" w:rsidRPr="000366C5" w:rsidRDefault="0065667D">
      <w:pPr>
        <w:rPr>
          <w:rFonts w:ascii="Calibri" w:hAnsi="Calibri"/>
          <w:szCs w:val="18"/>
          <w:shd w:val="clear" w:color="auto" w:fill="FFFFFF"/>
        </w:rPr>
      </w:pPr>
      <w:r w:rsidRPr="000366C5">
        <w:rPr>
          <w:rFonts w:asciiTheme="minorHAnsi" w:eastAsia="Batang" w:hAnsiTheme="minorHAnsi"/>
          <w:szCs w:val="18"/>
        </w:rPr>
        <w:t xml:space="preserve">V </w:t>
      </w:r>
      <w:r w:rsidR="005D00E1">
        <w:rPr>
          <w:rFonts w:asciiTheme="minorHAnsi" w:eastAsia="Batang" w:hAnsiTheme="minorHAnsi"/>
          <w:noProof/>
          <w:szCs w:val="18"/>
        </w:rPr>
        <w:t>Podolí</w:t>
      </w:r>
      <w:bookmarkStart w:id="0" w:name="_GoBack"/>
      <w:bookmarkEnd w:id="0"/>
      <w:r w:rsidRPr="000366C5">
        <w:rPr>
          <w:rFonts w:asciiTheme="minorHAnsi" w:eastAsia="Batang" w:hAnsiTheme="minorHAnsi"/>
          <w:szCs w:val="18"/>
        </w:rPr>
        <w:t xml:space="preserve">, dne </w:t>
      </w:r>
      <w:r w:rsidRPr="005608D0">
        <w:rPr>
          <w:rFonts w:ascii="Calibri" w:hAnsi="Calibri"/>
          <w:noProof/>
          <w:szCs w:val="18"/>
          <w:shd w:val="clear" w:color="auto" w:fill="FFFFFF"/>
        </w:rPr>
        <w:t>3. 1. 2018</w:t>
      </w:r>
    </w:p>
    <w:p w:rsidR="0065667D" w:rsidRPr="000366C5" w:rsidRDefault="0065667D">
      <w:pPr>
        <w:rPr>
          <w:rFonts w:ascii="Calibri" w:hAnsi="Calibri"/>
          <w:szCs w:val="18"/>
          <w:shd w:val="clear" w:color="auto" w:fill="FFFFFF"/>
        </w:rPr>
      </w:pPr>
    </w:p>
    <w:p w:rsidR="0065667D" w:rsidRPr="000366C5" w:rsidRDefault="0065667D">
      <w:pPr>
        <w:rPr>
          <w:rFonts w:asciiTheme="minorHAnsi" w:hAnsiTheme="minorHAnsi"/>
          <w:b/>
          <w:szCs w:val="18"/>
          <w:shd w:val="clear" w:color="auto" w:fill="FFFFFF"/>
        </w:rPr>
      </w:pPr>
    </w:p>
    <w:p w:rsidR="0065667D" w:rsidRDefault="0065667D" w:rsidP="00EF2D2A">
      <w:pPr>
        <w:rPr>
          <w:rFonts w:asciiTheme="minorHAnsi" w:hAnsiTheme="minorHAnsi"/>
          <w:szCs w:val="18"/>
          <w:shd w:val="clear" w:color="auto" w:fill="FFFFFF"/>
        </w:rPr>
        <w:sectPr w:rsidR="0065667D" w:rsidSect="0065667D">
          <w:footerReference w:type="default" r:id="rId8"/>
          <w:pgSz w:w="12240" w:h="15840"/>
          <w:pgMar w:top="1440" w:right="1325" w:bottom="1440" w:left="993" w:header="720" w:footer="720" w:gutter="0"/>
          <w:pgNumType w:start="1"/>
          <w:cols w:space="720"/>
          <w:docGrid w:linePitch="360"/>
        </w:sectPr>
      </w:pPr>
      <w:r w:rsidRPr="005608D0">
        <w:rPr>
          <w:rFonts w:asciiTheme="minorHAnsi" w:eastAsia="Batang" w:hAnsiTheme="minorHAnsi"/>
          <w:noProof/>
          <w:szCs w:val="18"/>
        </w:rPr>
        <w:t>MM Optimal, s.r.o.</w:t>
      </w:r>
    </w:p>
    <w:p w:rsidR="0065667D" w:rsidRPr="000366C5" w:rsidRDefault="0065667D" w:rsidP="00EF2D2A">
      <w:pPr>
        <w:rPr>
          <w:rFonts w:asciiTheme="minorHAnsi" w:hAnsiTheme="minorHAnsi"/>
          <w:szCs w:val="18"/>
          <w:shd w:val="clear" w:color="auto" w:fill="FFFFFF"/>
        </w:rPr>
      </w:pPr>
    </w:p>
    <w:sectPr w:rsidR="0065667D" w:rsidRPr="000366C5" w:rsidSect="0065667D">
      <w:footerReference w:type="default" r:id="rId9"/>
      <w:type w:val="continuous"/>
      <w:pgSz w:w="12240" w:h="15840"/>
      <w:pgMar w:top="1440" w:right="1325"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56" w:rsidRDefault="007B1F56" w:rsidP="00A112ED">
      <w:pPr>
        <w:spacing w:line="240" w:lineRule="auto"/>
      </w:pPr>
      <w:r>
        <w:separator/>
      </w:r>
    </w:p>
  </w:endnote>
  <w:endnote w:type="continuationSeparator" w:id="1">
    <w:p w:rsidR="007B1F56" w:rsidRDefault="007B1F56" w:rsidP="00A112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65460"/>
      <w:docPartObj>
        <w:docPartGallery w:val="Page Numbers (Bottom of Page)"/>
        <w:docPartUnique/>
      </w:docPartObj>
    </w:sdtPr>
    <w:sdtEndPr>
      <w:rPr>
        <w:rFonts w:asciiTheme="minorHAnsi" w:hAnsiTheme="minorHAnsi"/>
        <w:sz w:val="14"/>
      </w:rPr>
    </w:sdtEndPr>
    <w:sdtContent>
      <w:sdt>
        <w:sdtPr>
          <w:rPr>
            <w:rFonts w:asciiTheme="minorHAnsi" w:hAnsiTheme="minorHAnsi"/>
            <w:sz w:val="14"/>
            <w:szCs w:val="14"/>
          </w:rPr>
          <w:id w:val="-1644491092"/>
          <w:docPartObj>
            <w:docPartGallery w:val="Page Numbers (Bottom of Page)"/>
            <w:docPartUnique/>
          </w:docPartObj>
        </w:sdtPr>
        <w:sdtContent>
          <w:p w:rsidR="0065667D" w:rsidRPr="002058B4" w:rsidRDefault="0065667D" w:rsidP="000F7637">
            <w:pPr>
              <w:pStyle w:val="Zpat"/>
              <w:rPr>
                <w:rFonts w:asciiTheme="minorHAnsi" w:hAnsiTheme="minorHAnsi"/>
                <w:sz w:val="14"/>
                <w:szCs w:val="14"/>
              </w:rPr>
            </w:pPr>
          </w:p>
          <w:p w:rsidR="0065667D" w:rsidRPr="002058B4" w:rsidRDefault="0065667D" w:rsidP="000F7637">
            <w:pPr>
              <w:pStyle w:val="Zpat"/>
              <w:rPr>
                <w:rFonts w:asciiTheme="minorHAnsi" w:hAnsiTheme="minorHAnsi"/>
                <w:sz w:val="14"/>
                <w:szCs w:val="14"/>
              </w:rPr>
            </w:pPr>
            <w:r w:rsidRPr="002058B4">
              <w:rPr>
                <w:rFonts w:asciiTheme="minorHAnsi" w:hAnsiTheme="minorHAnsi"/>
                <w:sz w:val="14"/>
                <w:szCs w:val="14"/>
              </w:rPr>
              <w:t>IS /IN/Rizika</w:t>
            </w:r>
            <w:r>
              <w:rPr>
                <w:rFonts w:asciiTheme="minorHAnsi" w:hAnsiTheme="minorHAnsi"/>
                <w:sz w:val="14"/>
                <w:szCs w:val="14"/>
              </w:rPr>
              <w:t>_</w:t>
            </w:r>
            <w:r w:rsidRPr="005608D0">
              <w:rPr>
                <w:rFonts w:asciiTheme="minorHAnsi" w:hAnsiTheme="minorHAnsi"/>
                <w:noProof/>
                <w:sz w:val="14"/>
                <w:szCs w:val="14"/>
              </w:rPr>
              <w:t>MMOPTIMAL</w:t>
            </w:r>
            <w:r>
              <w:rPr>
                <w:rFonts w:asciiTheme="minorHAnsi" w:hAnsiTheme="minorHAnsi"/>
                <w:sz w:val="14"/>
                <w:szCs w:val="14"/>
              </w:rPr>
              <w:t xml:space="preserve">_20180103 </w:t>
            </w:r>
          </w:p>
        </w:sdtContent>
      </w:sdt>
      <w:p w:rsidR="0065667D" w:rsidRPr="000F7637" w:rsidRDefault="00E34905">
        <w:pPr>
          <w:pStyle w:val="Zpat"/>
          <w:jc w:val="right"/>
          <w:rPr>
            <w:rFonts w:asciiTheme="minorHAnsi" w:hAnsiTheme="minorHAnsi"/>
            <w:sz w:val="14"/>
          </w:rPr>
        </w:pPr>
        <w:r w:rsidRPr="000F7637">
          <w:rPr>
            <w:rFonts w:asciiTheme="minorHAnsi" w:hAnsiTheme="minorHAnsi"/>
            <w:sz w:val="14"/>
          </w:rPr>
          <w:fldChar w:fldCharType="begin"/>
        </w:r>
        <w:r w:rsidR="0065667D" w:rsidRPr="000F7637">
          <w:rPr>
            <w:rFonts w:asciiTheme="minorHAnsi" w:hAnsiTheme="minorHAnsi"/>
            <w:sz w:val="14"/>
          </w:rPr>
          <w:instrText>PAGE   \* MERGEFORMAT</w:instrText>
        </w:r>
        <w:r w:rsidRPr="000F7637">
          <w:rPr>
            <w:rFonts w:asciiTheme="minorHAnsi" w:hAnsiTheme="minorHAnsi"/>
            <w:sz w:val="14"/>
          </w:rPr>
          <w:fldChar w:fldCharType="separate"/>
        </w:r>
        <w:r w:rsidR="007D7B03">
          <w:rPr>
            <w:rFonts w:asciiTheme="minorHAnsi" w:hAnsiTheme="minorHAnsi"/>
            <w:noProof/>
            <w:sz w:val="14"/>
          </w:rPr>
          <w:t>2</w:t>
        </w:r>
        <w:r w:rsidRPr="000F7637">
          <w:rPr>
            <w:rFonts w:asciiTheme="minorHAnsi" w:hAnsiTheme="minorHAnsi"/>
            <w:sz w:val="1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890949"/>
      <w:docPartObj>
        <w:docPartGallery w:val="Page Numbers (Bottom of Page)"/>
        <w:docPartUnique/>
      </w:docPartObj>
    </w:sdtPr>
    <w:sdtEndPr>
      <w:rPr>
        <w:rFonts w:asciiTheme="minorHAnsi" w:hAnsiTheme="minorHAnsi"/>
        <w:sz w:val="14"/>
      </w:rPr>
    </w:sdtEndPr>
    <w:sdtContent>
      <w:sdt>
        <w:sdtPr>
          <w:rPr>
            <w:rFonts w:asciiTheme="minorHAnsi" w:hAnsiTheme="minorHAnsi"/>
            <w:sz w:val="14"/>
            <w:szCs w:val="14"/>
          </w:rPr>
          <w:id w:val="1966231830"/>
          <w:docPartObj>
            <w:docPartGallery w:val="Page Numbers (Bottom of Page)"/>
            <w:docPartUnique/>
          </w:docPartObj>
        </w:sdtPr>
        <w:sdtContent>
          <w:p w:rsidR="0047621F" w:rsidRPr="002058B4" w:rsidRDefault="0047621F" w:rsidP="000F7637">
            <w:pPr>
              <w:pStyle w:val="Zpat"/>
              <w:rPr>
                <w:rFonts w:asciiTheme="minorHAnsi" w:hAnsiTheme="minorHAnsi"/>
                <w:sz w:val="14"/>
                <w:szCs w:val="14"/>
              </w:rPr>
            </w:pPr>
          </w:p>
          <w:p w:rsidR="0047621F" w:rsidRPr="002058B4" w:rsidRDefault="0047621F" w:rsidP="000F7637">
            <w:pPr>
              <w:pStyle w:val="Zpat"/>
              <w:rPr>
                <w:rFonts w:asciiTheme="minorHAnsi" w:hAnsiTheme="minorHAnsi"/>
                <w:sz w:val="14"/>
                <w:szCs w:val="14"/>
              </w:rPr>
            </w:pPr>
            <w:r w:rsidRPr="002058B4">
              <w:rPr>
                <w:rFonts w:asciiTheme="minorHAnsi" w:hAnsiTheme="minorHAnsi"/>
                <w:sz w:val="14"/>
                <w:szCs w:val="14"/>
              </w:rPr>
              <w:t>IS /IN/Rizika</w:t>
            </w:r>
            <w:r>
              <w:rPr>
                <w:rFonts w:asciiTheme="minorHAnsi" w:hAnsiTheme="minorHAnsi"/>
                <w:sz w:val="14"/>
                <w:szCs w:val="14"/>
              </w:rPr>
              <w:t>_</w:t>
            </w:r>
            <w:r w:rsidR="00584A98" w:rsidRPr="005608D0">
              <w:rPr>
                <w:rFonts w:asciiTheme="minorHAnsi" w:hAnsiTheme="minorHAnsi"/>
                <w:noProof/>
                <w:sz w:val="14"/>
                <w:szCs w:val="14"/>
              </w:rPr>
              <w:t>MMOPTIMAL</w:t>
            </w:r>
            <w:r>
              <w:rPr>
                <w:rFonts w:asciiTheme="minorHAnsi" w:hAnsiTheme="minorHAnsi"/>
                <w:sz w:val="14"/>
                <w:szCs w:val="14"/>
              </w:rPr>
              <w:t xml:space="preserve">_20180103 </w:t>
            </w:r>
          </w:p>
        </w:sdtContent>
      </w:sdt>
      <w:p w:rsidR="0047621F" w:rsidRPr="000F7637" w:rsidRDefault="00E34905">
        <w:pPr>
          <w:pStyle w:val="Zpat"/>
          <w:jc w:val="right"/>
          <w:rPr>
            <w:rFonts w:asciiTheme="minorHAnsi" w:hAnsiTheme="minorHAnsi"/>
            <w:sz w:val="14"/>
          </w:rPr>
        </w:pPr>
        <w:r w:rsidRPr="000F7637">
          <w:rPr>
            <w:rFonts w:asciiTheme="minorHAnsi" w:hAnsiTheme="minorHAnsi"/>
            <w:sz w:val="14"/>
          </w:rPr>
          <w:fldChar w:fldCharType="begin"/>
        </w:r>
        <w:r w:rsidR="0047621F" w:rsidRPr="000F7637">
          <w:rPr>
            <w:rFonts w:asciiTheme="minorHAnsi" w:hAnsiTheme="minorHAnsi"/>
            <w:sz w:val="14"/>
          </w:rPr>
          <w:instrText>PAGE   \* MERGEFORMAT</w:instrText>
        </w:r>
        <w:r w:rsidRPr="000F7637">
          <w:rPr>
            <w:rFonts w:asciiTheme="minorHAnsi" w:hAnsiTheme="minorHAnsi"/>
            <w:sz w:val="14"/>
          </w:rPr>
          <w:fldChar w:fldCharType="separate"/>
        </w:r>
        <w:r w:rsidR="0065667D">
          <w:rPr>
            <w:rFonts w:asciiTheme="minorHAnsi" w:hAnsiTheme="minorHAnsi"/>
            <w:noProof/>
            <w:sz w:val="14"/>
          </w:rPr>
          <w:t>1</w:t>
        </w:r>
        <w:r w:rsidRPr="000F7637">
          <w:rPr>
            <w:rFonts w:asciiTheme="minorHAnsi" w:hAnsiTheme="minorHAnsi"/>
            <w:sz w:val="1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56" w:rsidRDefault="007B1F56" w:rsidP="00A112ED">
      <w:pPr>
        <w:spacing w:line="240" w:lineRule="auto"/>
      </w:pPr>
      <w:r>
        <w:separator/>
      </w:r>
    </w:p>
  </w:footnote>
  <w:footnote w:type="continuationSeparator" w:id="1">
    <w:p w:rsidR="007B1F56" w:rsidRDefault="007B1F56" w:rsidP="00A112ED">
      <w:pPr>
        <w:spacing w:line="240" w:lineRule="auto"/>
      </w:pPr>
      <w:r>
        <w:continuationSeparator/>
      </w:r>
    </w:p>
  </w:footnote>
  <w:footnote w:id="2">
    <w:p w:rsidR="0065667D" w:rsidRPr="002058B4" w:rsidRDefault="0065667D">
      <w:pPr>
        <w:pStyle w:val="Textpoznpodarou"/>
        <w:rPr>
          <w:rFonts w:asciiTheme="minorHAnsi" w:hAnsiTheme="minorHAnsi"/>
          <w:sz w:val="14"/>
          <w:szCs w:val="14"/>
        </w:rPr>
      </w:pPr>
      <w:r w:rsidRPr="002058B4">
        <w:rPr>
          <w:rStyle w:val="Znakapoznpodarou"/>
          <w:rFonts w:asciiTheme="minorHAnsi" w:hAnsiTheme="minorHAnsi"/>
          <w:sz w:val="14"/>
          <w:szCs w:val="14"/>
        </w:rPr>
        <w:footnoteRef/>
      </w:r>
      <w:r w:rsidRPr="002058B4">
        <w:rPr>
          <w:rFonts w:asciiTheme="minorHAnsi" w:hAnsiTheme="minorHAnsi"/>
          <w:sz w:val="14"/>
          <w:szCs w:val="14"/>
        </w:rPr>
        <w:t xml:space="preserve"> Jedná se pouze výčet investičních nástrojů, ke kterým může Zprostředkovatel poskytovat investiční služby.</w:t>
      </w:r>
    </w:p>
  </w:footnote>
  <w:footnote w:id="3">
    <w:p w:rsidR="0065667D" w:rsidRPr="00EE2796" w:rsidRDefault="0065667D">
      <w:pPr>
        <w:pStyle w:val="Textpoznpodarou"/>
        <w:rPr>
          <w:rFonts w:asciiTheme="minorHAnsi" w:hAnsiTheme="minorHAnsi"/>
          <w:sz w:val="14"/>
        </w:rPr>
      </w:pPr>
      <w:r w:rsidRPr="00EE2796">
        <w:rPr>
          <w:rStyle w:val="Znakapoznpodarou"/>
          <w:rFonts w:asciiTheme="minorHAnsi" w:hAnsiTheme="minorHAnsi"/>
          <w:sz w:val="14"/>
        </w:rPr>
        <w:footnoteRef/>
      </w:r>
      <w:r w:rsidRPr="00EE2796">
        <w:rPr>
          <w:rFonts w:asciiTheme="minorHAnsi" w:hAnsiTheme="minorHAnsi"/>
          <w:sz w:val="14"/>
        </w:rPr>
        <w:t xml:space="preserve"> K akciím jako investičním cenným papírům Zprostředkovatel neposkytuje investiční služby.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5300"/>
    <w:multiLevelType w:val="hybridMultilevel"/>
    <w:tmpl w:val="A24CC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4670D4"/>
    <w:multiLevelType w:val="hybridMultilevel"/>
    <w:tmpl w:val="F3FC928E"/>
    <w:lvl w:ilvl="0" w:tplc="EB0AA6C2">
      <w:numFmt w:val="bullet"/>
      <w:lvlText w:val="-"/>
      <w:lvlJc w:val="left"/>
      <w:pPr>
        <w:ind w:left="1437" w:hanging="360"/>
      </w:pPr>
      <w:rPr>
        <w:rFonts w:ascii="Arial" w:eastAsia="Calibri" w:hAnsi="Arial" w:cs="Aria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
    <w:nsid w:val="17B77559"/>
    <w:multiLevelType w:val="hybridMultilevel"/>
    <w:tmpl w:val="D44C223C"/>
    <w:lvl w:ilvl="0" w:tplc="EB0AA6C2">
      <w:numFmt w:val="bullet"/>
      <w:lvlText w:val="-"/>
      <w:lvlJc w:val="left"/>
      <w:pPr>
        <w:ind w:left="1434" w:hanging="360"/>
      </w:pPr>
      <w:rPr>
        <w:rFonts w:ascii="Arial" w:eastAsia="Calibri" w:hAnsi="Arial" w:cs="Arial" w:hint="default"/>
      </w:rPr>
    </w:lvl>
    <w:lvl w:ilvl="1" w:tplc="04050003">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nsid w:val="19A21A5E"/>
    <w:multiLevelType w:val="hybridMultilevel"/>
    <w:tmpl w:val="0A246E6A"/>
    <w:lvl w:ilvl="0" w:tplc="04090005">
      <w:start w:val="1"/>
      <w:numFmt w:val="bullet"/>
      <w:lvlText w:val=""/>
      <w:lvlJc w:val="left"/>
      <w:pPr>
        <w:ind w:left="1425" w:hanging="360"/>
      </w:pPr>
      <w:rPr>
        <w:rFonts w:ascii="Wingdings" w:hAnsi="Wingdings" w:hint="default"/>
      </w:rPr>
    </w:lvl>
    <w:lvl w:ilvl="1" w:tplc="04090005">
      <w:start w:val="1"/>
      <w:numFmt w:val="bullet"/>
      <w:lvlText w:val=""/>
      <w:lvlJc w:val="left"/>
      <w:pPr>
        <w:ind w:left="1530" w:hanging="360"/>
      </w:pPr>
      <w:rPr>
        <w:rFonts w:ascii="Wingdings" w:hAnsi="Wingdings" w:hint="default"/>
      </w:rPr>
    </w:lvl>
    <w:lvl w:ilvl="2" w:tplc="04050005">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nsid w:val="211F64A6"/>
    <w:multiLevelType w:val="hybridMultilevel"/>
    <w:tmpl w:val="A510D8FC"/>
    <w:lvl w:ilvl="0" w:tplc="EB0AA6C2">
      <w:numFmt w:val="bullet"/>
      <w:lvlText w:val="-"/>
      <w:lvlJc w:val="left"/>
      <w:pPr>
        <w:ind w:left="1425" w:hanging="360"/>
      </w:pPr>
      <w:rPr>
        <w:rFonts w:ascii="Arial" w:eastAsia="Calibri" w:hAnsi="Arial" w:cs="Aria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289D4EAD"/>
    <w:multiLevelType w:val="hybridMultilevel"/>
    <w:tmpl w:val="F816273E"/>
    <w:lvl w:ilvl="0" w:tplc="EB0AA6C2">
      <w:numFmt w:val="bullet"/>
      <w:lvlText w:val="-"/>
      <w:lvlJc w:val="left"/>
      <w:pPr>
        <w:ind w:left="1425" w:hanging="360"/>
      </w:pPr>
      <w:rPr>
        <w:rFonts w:ascii="Arial" w:eastAsia="Calibri" w:hAnsi="Arial" w:cs="Aria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nsid w:val="2D2A6B99"/>
    <w:multiLevelType w:val="hybridMultilevel"/>
    <w:tmpl w:val="32C62296"/>
    <w:lvl w:ilvl="0" w:tplc="5CF6E0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77998"/>
    <w:multiLevelType w:val="hybridMultilevel"/>
    <w:tmpl w:val="D1E4BEEC"/>
    <w:lvl w:ilvl="0" w:tplc="EB0AA6C2">
      <w:numFmt w:val="bullet"/>
      <w:lvlText w:val="-"/>
      <w:lvlJc w:val="left"/>
      <w:pPr>
        <w:ind w:left="1428" w:hanging="360"/>
      </w:pPr>
      <w:rPr>
        <w:rFonts w:ascii="Arial" w:eastAsia="Calibri" w:hAnsi="Arial" w:cs="Arial" w:hint="default"/>
        <w:sz w:val="2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37155A6E"/>
    <w:multiLevelType w:val="hybridMultilevel"/>
    <w:tmpl w:val="8DB045B8"/>
    <w:lvl w:ilvl="0" w:tplc="EB0AA6C2">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4A277EFF"/>
    <w:multiLevelType w:val="hybridMultilevel"/>
    <w:tmpl w:val="9A1496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64062D"/>
    <w:multiLevelType w:val="singleLevel"/>
    <w:tmpl w:val="EB0AA6C2"/>
    <w:lvl w:ilvl="0">
      <w:numFmt w:val="bullet"/>
      <w:lvlText w:val="-"/>
      <w:lvlJc w:val="left"/>
      <w:pPr>
        <w:ind w:left="1437" w:hanging="360"/>
      </w:pPr>
      <w:rPr>
        <w:rFonts w:ascii="Arial" w:eastAsia="Calibri" w:hAnsi="Arial" w:cs="Arial" w:hint="default"/>
      </w:rPr>
    </w:lvl>
  </w:abstractNum>
  <w:abstractNum w:abstractNumId="11">
    <w:nsid w:val="5ABD53D9"/>
    <w:multiLevelType w:val="hybridMultilevel"/>
    <w:tmpl w:val="58E00A8E"/>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D93F6C"/>
    <w:multiLevelType w:val="hybridMultilevel"/>
    <w:tmpl w:val="DFA2E3AA"/>
    <w:lvl w:ilvl="0" w:tplc="EB0AA6C2">
      <w:numFmt w:val="bullet"/>
      <w:lvlText w:val="-"/>
      <w:lvlJc w:val="left"/>
      <w:pPr>
        <w:ind w:left="1429" w:hanging="360"/>
      </w:pPr>
      <w:rPr>
        <w:rFonts w:ascii="Arial" w:eastAsia="Calibr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61DB53C9"/>
    <w:multiLevelType w:val="multilevel"/>
    <w:tmpl w:val="E39EAB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22B653B"/>
    <w:multiLevelType w:val="hybridMultilevel"/>
    <w:tmpl w:val="59B4C5E4"/>
    <w:lvl w:ilvl="0" w:tplc="04090005">
      <w:start w:val="1"/>
      <w:numFmt w:val="bullet"/>
      <w:lvlText w:val=""/>
      <w:lvlJc w:val="left"/>
      <w:pPr>
        <w:ind w:left="1432" w:hanging="360"/>
      </w:pPr>
      <w:rPr>
        <w:rFonts w:ascii="Wingdings" w:hAnsi="Wingdings" w:hint="default"/>
      </w:rPr>
    </w:lvl>
    <w:lvl w:ilvl="1" w:tplc="EB0AA6C2">
      <w:numFmt w:val="bullet"/>
      <w:lvlText w:val="-"/>
      <w:lvlJc w:val="left"/>
      <w:pPr>
        <w:ind w:left="2152" w:hanging="360"/>
      </w:pPr>
      <w:rPr>
        <w:rFonts w:ascii="Arial" w:eastAsia="Calibri" w:hAnsi="Arial" w:cs="Arial" w:hint="default"/>
        <w:sz w:val="20"/>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15">
    <w:nsid w:val="791E4814"/>
    <w:multiLevelType w:val="singleLevel"/>
    <w:tmpl w:val="EB0AA6C2"/>
    <w:lvl w:ilvl="0">
      <w:numFmt w:val="bullet"/>
      <w:lvlText w:val="-"/>
      <w:lvlJc w:val="left"/>
      <w:pPr>
        <w:ind w:left="720" w:hanging="360"/>
      </w:pPr>
      <w:rPr>
        <w:rFonts w:ascii="Arial" w:eastAsia="Calibri" w:hAnsi="Arial" w:cs="Arial" w:hint="default"/>
      </w:rPr>
    </w:lvl>
  </w:abstractNum>
  <w:abstractNum w:abstractNumId="16">
    <w:nsid w:val="7DFD3380"/>
    <w:multiLevelType w:val="hybridMultilevel"/>
    <w:tmpl w:val="366072D6"/>
    <w:lvl w:ilvl="0" w:tplc="4406FD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13D2D"/>
    <w:multiLevelType w:val="hybridMultilevel"/>
    <w:tmpl w:val="77B00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2"/>
  </w:num>
  <w:num w:numId="5">
    <w:abstractNumId w:val="5"/>
  </w:num>
  <w:num w:numId="6">
    <w:abstractNumId w:val="4"/>
  </w:num>
  <w:num w:numId="7">
    <w:abstractNumId w:val="0"/>
  </w:num>
  <w:num w:numId="8">
    <w:abstractNumId w:val="8"/>
  </w:num>
  <w:num w:numId="9">
    <w:abstractNumId w:val="12"/>
  </w:num>
  <w:num w:numId="10">
    <w:abstractNumId w:val="1"/>
  </w:num>
  <w:num w:numId="11">
    <w:abstractNumId w:val="10"/>
  </w:num>
  <w:num w:numId="12">
    <w:abstractNumId w:val="15"/>
  </w:num>
  <w:num w:numId="13">
    <w:abstractNumId w:val="16"/>
  </w:num>
  <w:num w:numId="14">
    <w:abstractNumId w:val="6"/>
  </w:num>
  <w:num w:numId="15">
    <w:abstractNumId w:val="14"/>
  </w:num>
  <w:num w:numId="16">
    <w:abstractNumId w:val="3"/>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6145"/>
  </w:hdrShapeDefaults>
  <w:footnotePr>
    <w:footnote w:id="0"/>
    <w:footnote w:id="1"/>
  </w:footnotePr>
  <w:endnotePr>
    <w:endnote w:id="0"/>
    <w:endnote w:id="1"/>
  </w:endnotePr>
  <w:compat/>
  <w:rsids>
    <w:rsidRoot w:val="003B3DE4"/>
    <w:rsid w:val="000100A3"/>
    <w:rsid w:val="0001696B"/>
    <w:rsid w:val="000220A2"/>
    <w:rsid w:val="000366C5"/>
    <w:rsid w:val="0004277F"/>
    <w:rsid w:val="0004455A"/>
    <w:rsid w:val="00055BF0"/>
    <w:rsid w:val="000578AD"/>
    <w:rsid w:val="0007642B"/>
    <w:rsid w:val="000B301F"/>
    <w:rsid w:val="000C2836"/>
    <w:rsid w:val="000D07FF"/>
    <w:rsid w:val="000D581F"/>
    <w:rsid w:val="000E73BA"/>
    <w:rsid w:val="000E7804"/>
    <w:rsid w:val="000F0BB1"/>
    <w:rsid w:val="000F6FD8"/>
    <w:rsid w:val="000F7637"/>
    <w:rsid w:val="00101D97"/>
    <w:rsid w:val="001153CC"/>
    <w:rsid w:val="00115BD2"/>
    <w:rsid w:val="00132F4C"/>
    <w:rsid w:val="001476C8"/>
    <w:rsid w:val="00154476"/>
    <w:rsid w:val="001575A8"/>
    <w:rsid w:val="00164A13"/>
    <w:rsid w:val="00166EB6"/>
    <w:rsid w:val="00170F6A"/>
    <w:rsid w:val="001777D1"/>
    <w:rsid w:val="001777E1"/>
    <w:rsid w:val="001A3CDC"/>
    <w:rsid w:val="001A4DB2"/>
    <w:rsid w:val="001B3A1F"/>
    <w:rsid w:val="001B4D60"/>
    <w:rsid w:val="001C78E3"/>
    <w:rsid w:val="001D1B45"/>
    <w:rsid w:val="001D6C56"/>
    <w:rsid w:val="001F4702"/>
    <w:rsid w:val="002058B4"/>
    <w:rsid w:val="00215E6C"/>
    <w:rsid w:val="00231865"/>
    <w:rsid w:val="00247669"/>
    <w:rsid w:val="00252D66"/>
    <w:rsid w:val="00257349"/>
    <w:rsid w:val="00260A7C"/>
    <w:rsid w:val="002672C1"/>
    <w:rsid w:val="002911C6"/>
    <w:rsid w:val="00292CC0"/>
    <w:rsid w:val="00295B02"/>
    <w:rsid w:val="002D0EE7"/>
    <w:rsid w:val="002D5796"/>
    <w:rsid w:val="002E283A"/>
    <w:rsid w:val="00334251"/>
    <w:rsid w:val="00351D7F"/>
    <w:rsid w:val="00352DCE"/>
    <w:rsid w:val="0035366C"/>
    <w:rsid w:val="00372B42"/>
    <w:rsid w:val="00380533"/>
    <w:rsid w:val="00392C4A"/>
    <w:rsid w:val="003A4A82"/>
    <w:rsid w:val="003B0A3C"/>
    <w:rsid w:val="003B3DE4"/>
    <w:rsid w:val="003F054F"/>
    <w:rsid w:val="003F2399"/>
    <w:rsid w:val="00425C37"/>
    <w:rsid w:val="0043294A"/>
    <w:rsid w:val="004333CC"/>
    <w:rsid w:val="004375D4"/>
    <w:rsid w:val="00441D3C"/>
    <w:rsid w:val="004445F8"/>
    <w:rsid w:val="00450DE0"/>
    <w:rsid w:val="00454127"/>
    <w:rsid w:val="0045597F"/>
    <w:rsid w:val="0046059F"/>
    <w:rsid w:val="004652E7"/>
    <w:rsid w:val="00475C31"/>
    <w:rsid w:val="0047621F"/>
    <w:rsid w:val="00476AE7"/>
    <w:rsid w:val="00480B62"/>
    <w:rsid w:val="00490112"/>
    <w:rsid w:val="004C611C"/>
    <w:rsid w:val="004D339C"/>
    <w:rsid w:val="004E4423"/>
    <w:rsid w:val="004E46E5"/>
    <w:rsid w:val="004F514B"/>
    <w:rsid w:val="0050228F"/>
    <w:rsid w:val="00516CCB"/>
    <w:rsid w:val="00525761"/>
    <w:rsid w:val="00550F0A"/>
    <w:rsid w:val="00560598"/>
    <w:rsid w:val="005623FA"/>
    <w:rsid w:val="00584A98"/>
    <w:rsid w:val="005A29F1"/>
    <w:rsid w:val="005C6210"/>
    <w:rsid w:val="005D00E1"/>
    <w:rsid w:val="005D2A2C"/>
    <w:rsid w:val="005D3367"/>
    <w:rsid w:val="005E096D"/>
    <w:rsid w:val="005E75B3"/>
    <w:rsid w:val="00615B3F"/>
    <w:rsid w:val="00622BC3"/>
    <w:rsid w:val="00623AE4"/>
    <w:rsid w:val="0065667D"/>
    <w:rsid w:val="00656722"/>
    <w:rsid w:val="00663C24"/>
    <w:rsid w:val="00666B01"/>
    <w:rsid w:val="00670C81"/>
    <w:rsid w:val="00675D60"/>
    <w:rsid w:val="0069557C"/>
    <w:rsid w:val="006B4745"/>
    <w:rsid w:val="006C16C8"/>
    <w:rsid w:val="006C1FDC"/>
    <w:rsid w:val="006D23D4"/>
    <w:rsid w:val="006D4270"/>
    <w:rsid w:val="006F5AAF"/>
    <w:rsid w:val="00717A2D"/>
    <w:rsid w:val="00725102"/>
    <w:rsid w:val="0078261A"/>
    <w:rsid w:val="00782F9D"/>
    <w:rsid w:val="007875EA"/>
    <w:rsid w:val="007943F3"/>
    <w:rsid w:val="007B1F56"/>
    <w:rsid w:val="007B541A"/>
    <w:rsid w:val="007C3A1E"/>
    <w:rsid w:val="007D7B03"/>
    <w:rsid w:val="00840D95"/>
    <w:rsid w:val="008436D4"/>
    <w:rsid w:val="008459BF"/>
    <w:rsid w:val="008625D8"/>
    <w:rsid w:val="00882F06"/>
    <w:rsid w:val="008C5696"/>
    <w:rsid w:val="008D7CF3"/>
    <w:rsid w:val="008E55FE"/>
    <w:rsid w:val="008F0FE1"/>
    <w:rsid w:val="00911EF8"/>
    <w:rsid w:val="0092334B"/>
    <w:rsid w:val="00931DCE"/>
    <w:rsid w:val="009371F5"/>
    <w:rsid w:val="00952C4E"/>
    <w:rsid w:val="00967E8D"/>
    <w:rsid w:val="00971FCB"/>
    <w:rsid w:val="00984AE1"/>
    <w:rsid w:val="00985F74"/>
    <w:rsid w:val="009A758C"/>
    <w:rsid w:val="009B59FE"/>
    <w:rsid w:val="009C0DA9"/>
    <w:rsid w:val="009D1697"/>
    <w:rsid w:val="009F1D34"/>
    <w:rsid w:val="009F2F83"/>
    <w:rsid w:val="009F5F8C"/>
    <w:rsid w:val="00A064B3"/>
    <w:rsid w:val="00A112ED"/>
    <w:rsid w:val="00A13F86"/>
    <w:rsid w:val="00A14227"/>
    <w:rsid w:val="00A4156F"/>
    <w:rsid w:val="00A4211D"/>
    <w:rsid w:val="00A43E0E"/>
    <w:rsid w:val="00A54B09"/>
    <w:rsid w:val="00A65D2C"/>
    <w:rsid w:val="00A725B3"/>
    <w:rsid w:val="00A74597"/>
    <w:rsid w:val="00A77B11"/>
    <w:rsid w:val="00AB3BBF"/>
    <w:rsid w:val="00AC7E50"/>
    <w:rsid w:val="00B17124"/>
    <w:rsid w:val="00B17442"/>
    <w:rsid w:val="00B46BFB"/>
    <w:rsid w:val="00B70F88"/>
    <w:rsid w:val="00B86E86"/>
    <w:rsid w:val="00BA39FE"/>
    <w:rsid w:val="00BC24C5"/>
    <w:rsid w:val="00BC78BE"/>
    <w:rsid w:val="00BD60F6"/>
    <w:rsid w:val="00BD61C2"/>
    <w:rsid w:val="00BE3369"/>
    <w:rsid w:val="00C00C90"/>
    <w:rsid w:val="00C1275B"/>
    <w:rsid w:val="00C3757B"/>
    <w:rsid w:val="00C37EFF"/>
    <w:rsid w:val="00C40482"/>
    <w:rsid w:val="00C54399"/>
    <w:rsid w:val="00C60756"/>
    <w:rsid w:val="00C70711"/>
    <w:rsid w:val="00CA7C37"/>
    <w:rsid w:val="00CB0D64"/>
    <w:rsid w:val="00CD46AE"/>
    <w:rsid w:val="00CD7B5B"/>
    <w:rsid w:val="00D14498"/>
    <w:rsid w:val="00D400F7"/>
    <w:rsid w:val="00D62372"/>
    <w:rsid w:val="00D83B8A"/>
    <w:rsid w:val="00D95249"/>
    <w:rsid w:val="00DB57A5"/>
    <w:rsid w:val="00DC7249"/>
    <w:rsid w:val="00DE7C69"/>
    <w:rsid w:val="00E04374"/>
    <w:rsid w:val="00E04CC7"/>
    <w:rsid w:val="00E15184"/>
    <w:rsid w:val="00E164A5"/>
    <w:rsid w:val="00E17551"/>
    <w:rsid w:val="00E34905"/>
    <w:rsid w:val="00E35122"/>
    <w:rsid w:val="00E61265"/>
    <w:rsid w:val="00E651DB"/>
    <w:rsid w:val="00E76989"/>
    <w:rsid w:val="00E85CBF"/>
    <w:rsid w:val="00E902C3"/>
    <w:rsid w:val="00EA1399"/>
    <w:rsid w:val="00EA7813"/>
    <w:rsid w:val="00EC162C"/>
    <w:rsid w:val="00ED196B"/>
    <w:rsid w:val="00EE264C"/>
    <w:rsid w:val="00EE2796"/>
    <w:rsid w:val="00EF2D2A"/>
    <w:rsid w:val="00F04495"/>
    <w:rsid w:val="00F156D9"/>
    <w:rsid w:val="00F178EA"/>
    <w:rsid w:val="00F26D02"/>
    <w:rsid w:val="00F3429D"/>
    <w:rsid w:val="00F411A7"/>
    <w:rsid w:val="00F47B8B"/>
    <w:rsid w:val="00F73312"/>
    <w:rsid w:val="00F80C81"/>
    <w:rsid w:val="00F93D1D"/>
    <w:rsid w:val="00FC7ACB"/>
    <w:rsid w:val="00FF5EF8"/>
    <w:rsid w:val="00FF7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2ED"/>
    <w:pPr>
      <w:spacing w:after="0" w:line="216" w:lineRule="exact"/>
    </w:pPr>
    <w:rPr>
      <w:rFonts w:ascii="Arial" w:eastAsia="Times New Roman" w:hAnsi="Arial" w:cs="Times New Roman"/>
      <w:sz w:val="18"/>
      <w:szCs w:val="24"/>
      <w:lang w:val="cs-CZ" w:eastAsia="cs-CZ"/>
    </w:rPr>
  </w:style>
  <w:style w:type="paragraph" w:styleId="Nadpis1">
    <w:name w:val="heading 1"/>
    <w:basedOn w:val="Normln"/>
    <w:next w:val="Normln"/>
    <w:link w:val="Nadpis1Char"/>
    <w:qFormat/>
    <w:rsid w:val="00A112ED"/>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12ED"/>
    <w:rPr>
      <w:rFonts w:ascii="Cambria" w:eastAsia="Times New Roman" w:hAnsi="Cambria" w:cs="Times New Roman"/>
      <w:b/>
      <w:bCs/>
      <w:kern w:val="32"/>
      <w:sz w:val="32"/>
      <w:szCs w:val="32"/>
      <w:lang w:val="cs-CZ" w:eastAsia="cs-CZ"/>
    </w:rPr>
  </w:style>
  <w:style w:type="paragraph" w:customStyle="1" w:styleId="Nadpis21">
    <w:name w:val="Nadpis 21"/>
    <w:basedOn w:val="Normln"/>
    <w:link w:val="Nadpis2Char"/>
    <w:qFormat/>
    <w:rsid w:val="00A112ED"/>
    <w:rPr>
      <w:b/>
      <w:sz w:val="22"/>
    </w:rPr>
  </w:style>
  <w:style w:type="character" w:customStyle="1" w:styleId="Nadpis2Char">
    <w:name w:val="Nadpis 2 Char"/>
    <w:link w:val="Nadpis21"/>
    <w:rsid w:val="00A112ED"/>
    <w:rPr>
      <w:rFonts w:ascii="Arial" w:eastAsia="Times New Roman" w:hAnsi="Arial" w:cs="Times New Roman"/>
      <w:b/>
      <w:szCs w:val="24"/>
      <w:lang w:val="cs-CZ" w:eastAsia="cs-CZ"/>
    </w:rPr>
  </w:style>
  <w:style w:type="paragraph" w:styleId="Zkladntext">
    <w:name w:val="Body Text"/>
    <w:basedOn w:val="Normln"/>
    <w:link w:val="ZkladntextChar"/>
    <w:rsid w:val="00A112ED"/>
    <w:pPr>
      <w:widowControl w:val="0"/>
      <w:spacing w:after="120" w:line="240" w:lineRule="auto"/>
      <w:jc w:val="both"/>
    </w:pPr>
    <w:rPr>
      <w:rFonts w:ascii="Times New Roman" w:hAnsi="Times New Roman"/>
      <w:sz w:val="22"/>
      <w:lang w:eastAsia="en-US"/>
    </w:rPr>
  </w:style>
  <w:style w:type="character" w:customStyle="1" w:styleId="ZkladntextChar">
    <w:name w:val="Základní text Char"/>
    <w:basedOn w:val="Standardnpsmoodstavce"/>
    <w:link w:val="Zkladntext"/>
    <w:rsid w:val="00A112ED"/>
    <w:rPr>
      <w:rFonts w:ascii="Times New Roman" w:eastAsia="Times New Roman" w:hAnsi="Times New Roman" w:cs="Times New Roman"/>
      <w:szCs w:val="24"/>
      <w:lang w:val="cs-CZ"/>
    </w:rPr>
  </w:style>
  <w:style w:type="paragraph" w:styleId="Zhlav">
    <w:name w:val="header"/>
    <w:basedOn w:val="Normln"/>
    <w:link w:val="ZhlavChar"/>
    <w:uiPriority w:val="99"/>
    <w:unhideWhenUsed/>
    <w:rsid w:val="00A112ED"/>
    <w:pPr>
      <w:tabs>
        <w:tab w:val="center" w:pos="4680"/>
        <w:tab w:val="right" w:pos="9360"/>
      </w:tabs>
      <w:spacing w:line="240" w:lineRule="auto"/>
    </w:pPr>
  </w:style>
  <w:style w:type="character" w:customStyle="1" w:styleId="ZhlavChar">
    <w:name w:val="Záhlaví Char"/>
    <w:basedOn w:val="Standardnpsmoodstavce"/>
    <w:link w:val="Zhlav"/>
    <w:uiPriority w:val="99"/>
    <w:rsid w:val="00A112ED"/>
    <w:rPr>
      <w:rFonts w:ascii="Arial" w:eastAsia="Times New Roman" w:hAnsi="Arial" w:cs="Times New Roman"/>
      <w:sz w:val="18"/>
      <w:szCs w:val="24"/>
      <w:lang w:val="cs-CZ" w:eastAsia="cs-CZ"/>
    </w:rPr>
  </w:style>
  <w:style w:type="paragraph" w:styleId="Zpat">
    <w:name w:val="footer"/>
    <w:basedOn w:val="Normln"/>
    <w:link w:val="ZpatChar"/>
    <w:uiPriority w:val="99"/>
    <w:unhideWhenUsed/>
    <w:rsid w:val="00A112ED"/>
    <w:pPr>
      <w:tabs>
        <w:tab w:val="center" w:pos="4680"/>
        <w:tab w:val="right" w:pos="9360"/>
      </w:tabs>
      <w:spacing w:line="240" w:lineRule="auto"/>
    </w:pPr>
  </w:style>
  <w:style w:type="character" w:customStyle="1" w:styleId="ZpatChar">
    <w:name w:val="Zápatí Char"/>
    <w:basedOn w:val="Standardnpsmoodstavce"/>
    <w:link w:val="Zpat"/>
    <w:uiPriority w:val="99"/>
    <w:rsid w:val="00A112ED"/>
    <w:rPr>
      <w:rFonts w:ascii="Arial" w:eastAsia="Times New Roman" w:hAnsi="Arial" w:cs="Times New Roman"/>
      <w:sz w:val="18"/>
      <w:szCs w:val="24"/>
      <w:lang w:val="cs-CZ" w:eastAsia="cs-CZ"/>
    </w:rPr>
  </w:style>
  <w:style w:type="paragraph" w:styleId="Odstavecseseznamem">
    <w:name w:val="List Paragraph"/>
    <w:basedOn w:val="Normln"/>
    <w:uiPriority w:val="34"/>
    <w:qFormat/>
    <w:rsid w:val="00166EB6"/>
    <w:pPr>
      <w:ind w:left="720"/>
      <w:contextualSpacing/>
    </w:pPr>
  </w:style>
  <w:style w:type="paragraph" w:styleId="Textpoznpodarou">
    <w:name w:val="footnote text"/>
    <w:basedOn w:val="Normln"/>
    <w:link w:val="TextpoznpodarouChar"/>
    <w:uiPriority w:val="99"/>
    <w:semiHidden/>
    <w:unhideWhenUsed/>
    <w:rsid w:val="00BC78BE"/>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BC78BE"/>
    <w:rPr>
      <w:rFonts w:ascii="Arial" w:eastAsia="Times New Roman" w:hAnsi="Arial" w:cs="Times New Roman"/>
      <w:sz w:val="20"/>
      <w:szCs w:val="20"/>
      <w:lang w:val="cs-CZ" w:eastAsia="cs-CZ"/>
    </w:rPr>
  </w:style>
  <w:style w:type="character" w:styleId="Znakapoznpodarou">
    <w:name w:val="footnote reference"/>
    <w:basedOn w:val="Standardnpsmoodstavce"/>
    <w:uiPriority w:val="99"/>
    <w:semiHidden/>
    <w:unhideWhenUsed/>
    <w:rsid w:val="00BC78BE"/>
    <w:rPr>
      <w:vertAlign w:val="superscript"/>
    </w:rPr>
  </w:style>
  <w:style w:type="paragraph" w:customStyle="1" w:styleId="Default">
    <w:name w:val="Default"/>
    <w:rsid w:val="00C7071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C70711"/>
    <w:rPr>
      <w:color w:val="auto"/>
    </w:rPr>
  </w:style>
  <w:style w:type="character" w:styleId="Odkaznakoment">
    <w:name w:val="annotation reference"/>
    <w:basedOn w:val="Standardnpsmoodstavce"/>
    <w:uiPriority w:val="99"/>
    <w:semiHidden/>
    <w:unhideWhenUsed/>
    <w:rsid w:val="00215E6C"/>
    <w:rPr>
      <w:sz w:val="16"/>
      <w:szCs w:val="16"/>
    </w:rPr>
  </w:style>
  <w:style w:type="paragraph" w:styleId="Textkomente">
    <w:name w:val="annotation text"/>
    <w:basedOn w:val="Normln"/>
    <w:link w:val="TextkomenteChar"/>
    <w:uiPriority w:val="99"/>
    <w:semiHidden/>
    <w:unhideWhenUsed/>
    <w:rsid w:val="00215E6C"/>
    <w:pPr>
      <w:spacing w:line="240" w:lineRule="auto"/>
    </w:pPr>
    <w:rPr>
      <w:sz w:val="20"/>
      <w:szCs w:val="20"/>
    </w:rPr>
  </w:style>
  <w:style w:type="character" w:customStyle="1" w:styleId="TextkomenteChar">
    <w:name w:val="Text komentáře Char"/>
    <w:basedOn w:val="Standardnpsmoodstavce"/>
    <w:link w:val="Textkomente"/>
    <w:uiPriority w:val="99"/>
    <w:semiHidden/>
    <w:rsid w:val="00215E6C"/>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215E6C"/>
    <w:rPr>
      <w:b/>
      <w:bCs/>
    </w:rPr>
  </w:style>
  <w:style w:type="character" w:customStyle="1" w:styleId="PedmtkomenteChar">
    <w:name w:val="Předmět komentáře Char"/>
    <w:basedOn w:val="TextkomenteChar"/>
    <w:link w:val="Pedmtkomente"/>
    <w:uiPriority w:val="99"/>
    <w:semiHidden/>
    <w:rsid w:val="00215E6C"/>
    <w:rPr>
      <w:rFonts w:ascii="Arial" w:eastAsia="Times New Roman" w:hAnsi="Arial" w:cs="Times New Roman"/>
      <w:b/>
      <w:bCs/>
      <w:sz w:val="20"/>
      <w:szCs w:val="20"/>
      <w:lang w:val="cs-CZ" w:eastAsia="cs-CZ"/>
    </w:rPr>
  </w:style>
  <w:style w:type="paragraph" w:styleId="Textbubliny">
    <w:name w:val="Balloon Text"/>
    <w:basedOn w:val="Normln"/>
    <w:link w:val="TextbublinyChar"/>
    <w:uiPriority w:val="99"/>
    <w:semiHidden/>
    <w:unhideWhenUsed/>
    <w:rsid w:val="00215E6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5E6C"/>
    <w:rPr>
      <w:rFonts w:ascii="Tahoma" w:eastAsia="Times New Roman" w:hAnsi="Tahoma" w:cs="Tahoma"/>
      <w:sz w:val="16"/>
      <w:szCs w:val="16"/>
      <w:lang w:val="cs-CZ" w:eastAsia="cs-CZ"/>
    </w:rPr>
  </w:style>
  <w:style w:type="character" w:customStyle="1" w:styleId="platne1">
    <w:name w:val="platne1"/>
    <w:basedOn w:val="Standardnpsmoodstavce"/>
    <w:rsid w:val="00D14498"/>
  </w:style>
  <w:style w:type="character" w:customStyle="1" w:styleId="platne">
    <w:name w:val="platne"/>
    <w:basedOn w:val="Standardnpsmoodstavce"/>
    <w:rsid w:val="00A725B3"/>
  </w:style>
  <w:style w:type="paragraph" w:customStyle="1" w:styleId="Blockquote">
    <w:name w:val="Blockquote"/>
    <w:basedOn w:val="Normln"/>
    <w:rsid w:val="00A725B3"/>
    <w:pPr>
      <w:spacing w:before="100" w:after="100" w:line="240" w:lineRule="auto"/>
      <w:ind w:left="360" w:right="360"/>
    </w:pPr>
    <w:rPr>
      <w:rFonts w:ascii="Times New Roman" w:hAnsi="Times New Roman"/>
      <w:snapToGrid w:val="0"/>
      <w:sz w:val="24"/>
      <w:lang w:eastAsia="en-US"/>
    </w:rPr>
  </w:style>
  <w:style w:type="character" w:styleId="Siln">
    <w:name w:val="Strong"/>
    <w:basedOn w:val="Standardnpsmoodstavce"/>
    <w:uiPriority w:val="22"/>
    <w:qFormat/>
    <w:rsid w:val="00334251"/>
    <w:rPr>
      <w:b/>
      <w:bCs/>
    </w:rPr>
  </w:style>
  <w:style w:type="character" w:styleId="Hypertextovodkaz">
    <w:name w:val="Hyperlink"/>
    <w:basedOn w:val="Standardnpsmoodstavce"/>
    <w:uiPriority w:val="99"/>
    <w:unhideWhenUsed/>
    <w:rsid w:val="00042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2ED"/>
    <w:pPr>
      <w:spacing w:after="0" w:line="216" w:lineRule="exact"/>
    </w:pPr>
    <w:rPr>
      <w:rFonts w:ascii="Arial" w:eastAsia="Times New Roman" w:hAnsi="Arial" w:cs="Times New Roman"/>
      <w:sz w:val="18"/>
      <w:szCs w:val="24"/>
      <w:lang w:val="cs-CZ" w:eastAsia="cs-CZ"/>
    </w:rPr>
  </w:style>
  <w:style w:type="paragraph" w:styleId="Nadpis1">
    <w:name w:val="heading 1"/>
    <w:basedOn w:val="Normln"/>
    <w:next w:val="Normln"/>
    <w:link w:val="Nadpis1Char"/>
    <w:qFormat/>
    <w:rsid w:val="00A112ED"/>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12ED"/>
    <w:rPr>
      <w:rFonts w:ascii="Cambria" w:eastAsia="Times New Roman" w:hAnsi="Cambria" w:cs="Times New Roman"/>
      <w:b/>
      <w:bCs/>
      <w:kern w:val="32"/>
      <w:sz w:val="32"/>
      <w:szCs w:val="32"/>
      <w:lang w:val="cs-CZ" w:eastAsia="cs-CZ"/>
    </w:rPr>
  </w:style>
  <w:style w:type="paragraph" w:customStyle="1" w:styleId="Nadpis21">
    <w:name w:val="Nadpis 21"/>
    <w:basedOn w:val="Normln"/>
    <w:link w:val="Nadpis2Char"/>
    <w:qFormat/>
    <w:rsid w:val="00A112ED"/>
    <w:rPr>
      <w:b/>
      <w:sz w:val="22"/>
    </w:rPr>
  </w:style>
  <w:style w:type="character" w:customStyle="1" w:styleId="Nadpis2Char">
    <w:name w:val="Nadpis 2 Char"/>
    <w:link w:val="Nadpis21"/>
    <w:rsid w:val="00A112ED"/>
    <w:rPr>
      <w:rFonts w:ascii="Arial" w:eastAsia="Times New Roman" w:hAnsi="Arial" w:cs="Times New Roman"/>
      <w:b/>
      <w:szCs w:val="24"/>
      <w:lang w:val="cs-CZ" w:eastAsia="cs-CZ"/>
    </w:rPr>
  </w:style>
  <w:style w:type="paragraph" w:styleId="Zkladntext">
    <w:name w:val="Body Text"/>
    <w:basedOn w:val="Normln"/>
    <w:link w:val="ZkladntextChar"/>
    <w:rsid w:val="00A112ED"/>
    <w:pPr>
      <w:widowControl w:val="0"/>
      <w:spacing w:after="120" w:line="240" w:lineRule="auto"/>
      <w:jc w:val="both"/>
    </w:pPr>
    <w:rPr>
      <w:rFonts w:ascii="Times New Roman" w:hAnsi="Times New Roman"/>
      <w:sz w:val="22"/>
      <w:lang w:eastAsia="en-US"/>
    </w:rPr>
  </w:style>
  <w:style w:type="character" w:customStyle="1" w:styleId="ZkladntextChar">
    <w:name w:val="Základní text Char"/>
    <w:basedOn w:val="Standardnpsmoodstavce"/>
    <w:link w:val="Zkladntext"/>
    <w:rsid w:val="00A112ED"/>
    <w:rPr>
      <w:rFonts w:ascii="Times New Roman" w:eastAsia="Times New Roman" w:hAnsi="Times New Roman" w:cs="Times New Roman"/>
      <w:szCs w:val="24"/>
      <w:lang w:val="cs-CZ"/>
    </w:rPr>
  </w:style>
  <w:style w:type="paragraph" w:styleId="Zhlav">
    <w:name w:val="header"/>
    <w:basedOn w:val="Normln"/>
    <w:link w:val="ZhlavChar"/>
    <w:uiPriority w:val="99"/>
    <w:unhideWhenUsed/>
    <w:rsid w:val="00A112ED"/>
    <w:pPr>
      <w:tabs>
        <w:tab w:val="center" w:pos="4680"/>
        <w:tab w:val="right" w:pos="9360"/>
      </w:tabs>
      <w:spacing w:line="240" w:lineRule="auto"/>
    </w:pPr>
  </w:style>
  <w:style w:type="character" w:customStyle="1" w:styleId="ZhlavChar">
    <w:name w:val="Záhlaví Char"/>
    <w:basedOn w:val="Standardnpsmoodstavce"/>
    <w:link w:val="Zhlav"/>
    <w:uiPriority w:val="99"/>
    <w:rsid w:val="00A112ED"/>
    <w:rPr>
      <w:rFonts w:ascii="Arial" w:eastAsia="Times New Roman" w:hAnsi="Arial" w:cs="Times New Roman"/>
      <w:sz w:val="18"/>
      <w:szCs w:val="24"/>
      <w:lang w:val="cs-CZ" w:eastAsia="cs-CZ"/>
    </w:rPr>
  </w:style>
  <w:style w:type="paragraph" w:styleId="Zpat">
    <w:name w:val="footer"/>
    <w:basedOn w:val="Normln"/>
    <w:link w:val="ZpatChar"/>
    <w:uiPriority w:val="99"/>
    <w:unhideWhenUsed/>
    <w:rsid w:val="00A112ED"/>
    <w:pPr>
      <w:tabs>
        <w:tab w:val="center" w:pos="4680"/>
        <w:tab w:val="right" w:pos="9360"/>
      </w:tabs>
      <w:spacing w:line="240" w:lineRule="auto"/>
    </w:pPr>
  </w:style>
  <w:style w:type="character" w:customStyle="1" w:styleId="ZpatChar">
    <w:name w:val="Zápatí Char"/>
    <w:basedOn w:val="Standardnpsmoodstavce"/>
    <w:link w:val="Zpat"/>
    <w:uiPriority w:val="99"/>
    <w:rsid w:val="00A112ED"/>
    <w:rPr>
      <w:rFonts w:ascii="Arial" w:eastAsia="Times New Roman" w:hAnsi="Arial" w:cs="Times New Roman"/>
      <w:sz w:val="18"/>
      <w:szCs w:val="24"/>
      <w:lang w:val="cs-CZ" w:eastAsia="cs-CZ"/>
    </w:rPr>
  </w:style>
  <w:style w:type="paragraph" w:styleId="Odstavecseseznamem">
    <w:name w:val="List Paragraph"/>
    <w:basedOn w:val="Normln"/>
    <w:uiPriority w:val="34"/>
    <w:qFormat/>
    <w:rsid w:val="00166EB6"/>
    <w:pPr>
      <w:ind w:left="720"/>
      <w:contextualSpacing/>
    </w:pPr>
  </w:style>
  <w:style w:type="paragraph" w:styleId="Textpoznpodarou">
    <w:name w:val="footnote text"/>
    <w:basedOn w:val="Normln"/>
    <w:link w:val="TextpoznpodarouChar"/>
    <w:uiPriority w:val="99"/>
    <w:semiHidden/>
    <w:unhideWhenUsed/>
    <w:rsid w:val="00BC78BE"/>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BC78BE"/>
    <w:rPr>
      <w:rFonts w:ascii="Arial" w:eastAsia="Times New Roman" w:hAnsi="Arial" w:cs="Times New Roman"/>
      <w:sz w:val="20"/>
      <w:szCs w:val="20"/>
      <w:lang w:val="cs-CZ" w:eastAsia="cs-CZ"/>
    </w:rPr>
  </w:style>
  <w:style w:type="character" w:styleId="Znakapoznpodarou">
    <w:name w:val="footnote reference"/>
    <w:basedOn w:val="Standardnpsmoodstavce"/>
    <w:uiPriority w:val="99"/>
    <w:semiHidden/>
    <w:unhideWhenUsed/>
    <w:rsid w:val="00BC78BE"/>
    <w:rPr>
      <w:vertAlign w:val="superscript"/>
    </w:rPr>
  </w:style>
  <w:style w:type="paragraph" w:customStyle="1" w:styleId="Default">
    <w:name w:val="Default"/>
    <w:rsid w:val="00C7071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C70711"/>
    <w:rPr>
      <w:color w:val="auto"/>
    </w:rPr>
  </w:style>
  <w:style w:type="character" w:styleId="Odkaznakoment">
    <w:name w:val="annotation reference"/>
    <w:basedOn w:val="Standardnpsmoodstavce"/>
    <w:uiPriority w:val="99"/>
    <w:semiHidden/>
    <w:unhideWhenUsed/>
    <w:rsid w:val="00215E6C"/>
    <w:rPr>
      <w:sz w:val="16"/>
      <w:szCs w:val="16"/>
    </w:rPr>
  </w:style>
  <w:style w:type="paragraph" w:styleId="Textkomente">
    <w:name w:val="annotation text"/>
    <w:basedOn w:val="Normln"/>
    <w:link w:val="TextkomenteChar"/>
    <w:uiPriority w:val="99"/>
    <w:semiHidden/>
    <w:unhideWhenUsed/>
    <w:rsid w:val="00215E6C"/>
    <w:pPr>
      <w:spacing w:line="240" w:lineRule="auto"/>
    </w:pPr>
    <w:rPr>
      <w:sz w:val="20"/>
      <w:szCs w:val="20"/>
    </w:rPr>
  </w:style>
  <w:style w:type="character" w:customStyle="1" w:styleId="TextkomenteChar">
    <w:name w:val="Text komentáře Char"/>
    <w:basedOn w:val="Standardnpsmoodstavce"/>
    <w:link w:val="Textkomente"/>
    <w:uiPriority w:val="99"/>
    <w:semiHidden/>
    <w:rsid w:val="00215E6C"/>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215E6C"/>
    <w:rPr>
      <w:b/>
      <w:bCs/>
    </w:rPr>
  </w:style>
  <w:style w:type="character" w:customStyle="1" w:styleId="PedmtkomenteChar">
    <w:name w:val="Předmět komentáře Char"/>
    <w:basedOn w:val="TextkomenteChar"/>
    <w:link w:val="Pedmtkomente"/>
    <w:uiPriority w:val="99"/>
    <w:semiHidden/>
    <w:rsid w:val="00215E6C"/>
    <w:rPr>
      <w:rFonts w:ascii="Arial" w:eastAsia="Times New Roman" w:hAnsi="Arial" w:cs="Times New Roman"/>
      <w:b/>
      <w:bCs/>
      <w:sz w:val="20"/>
      <w:szCs w:val="20"/>
      <w:lang w:val="cs-CZ" w:eastAsia="cs-CZ"/>
    </w:rPr>
  </w:style>
  <w:style w:type="paragraph" w:styleId="Textbubliny">
    <w:name w:val="Balloon Text"/>
    <w:basedOn w:val="Normln"/>
    <w:link w:val="TextbublinyChar"/>
    <w:uiPriority w:val="99"/>
    <w:semiHidden/>
    <w:unhideWhenUsed/>
    <w:rsid w:val="00215E6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5E6C"/>
    <w:rPr>
      <w:rFonts w:ascii="Tahoma" w:eastAsia="Times New Roman" w:hAnsi="Tahoma" w:cs="Tahoma"/>
      <w:sz w:val="16"/>
      <w:szCs w:val="16"/>
      <w:lang w:val="cs-CZ" w:eastAsia="cs-CZ"/>
    </w:rPr>
  </w:style>
  <w:style w:type="character" w:customStyle="1" w:styleId="platne1">
    <w:name w:val="platne1"/>
    <w:basedOn w:val="Standardnpsmoodstavce"/>
    <w:rsid w:val="00D14498"/>
  </w:style>
  <w:style w:type="character" w:customStyle="1" w:styleId="platne">
    <w:name w:val="platne"/>
    <w:basedOn w:val="Standardnpsmoodstavce"/>
    <w:rsid w:val="00A725B3"/>
  </w:style>
  <w:style w:type="paragraph" w:customStyle="1" w:styleId="Blockquote">
    <w:name w:val="Blockquote"/>
    <w:basedOn w:val="Normln"/>
    <w:rsid w:val="00A725B3"/>
    <w:pPr>
      <w:spacing w:before="100" w:after="100" w:line="240" w:lineRule="auto"/>
      <w:ind w:left="360" w:right="360"/>
    </w:pPr>
    <w:rPr>
      <w:rFonts w:ascii="Times New Roman" w:hAnsi="Times New Roman"/>
      <w:snapToGrid w:val="0"/>
      <w:sz w:val="24"/>
      <w:lang w:eastAsia="en-US"/>
    </w:rPr>
  </w:style>
  <w:style w:type="character" w:styleId="Siln">
    <w:name w:val="Strong"/>
    <w:basedOn w:val="Standardnpsmoodstavce"/>
    <w:uiPriority w:val="22"/>
    <w:qFormat/>
    <w:rsid w:val="00334251"/>
    <w:rPr>
      <w:b/>
      <w:bCs/>
    </w:rPr>
  </w:style>
  <w:style w:type="character" w:styleId="Hypertextovodkaz">
    <w:name w:val="Hyperlink"/>
    <w:basedOn w:val="Standardnpsmoodstavce"/>
    <w:uiPriority w:val="99"/>
    <w:unhideWhenUsed/>
    <w:rsid w:val="000427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308557">
      <w:bodyDiv w:val="1"/>
      <w:marLeft w:val="0"/>
      <w:marRight w:val="0"/>
      <w:marTop w:val="0"/>
      <w:marBottom w:val="0"/>
      <w:divBdr>
        <w:top w:val="none" w:sz="0" w:space="0" w:color="auto"/>
        <w:left w:val="none" w:sz="0" w:space="0" w:color="auto"/>
        <w:bottom w:val="none" w:sz="0" w:space="0" w:color="auto"/>
        <w:right w:val="none" w:sz="0" w:space="0" w:color="auto"/>
      </w:divBdr>
      <w:divsChild>
        <w:div w:id="1204904807">
          <w:marLeft w:val="0"/>
          <w:marRight w:val="0"/>
          <w:marTop w:val="0"/>
          <w:marBottom w:val="0"/>
          <w:divBdr>
            <w:top w:val="none" w:sz="0" w:space="0" w:color="auto"/>
            <w:left w:val="none" w:sz="0" w:space="0" w:color="auto"/>
            <w:bottom w:val="none" w:sz="0" w:space="0" w:color="auto"/>
            <w:right w:val="none" w:sz="0" w:space="0" w:color="auto"/>
          </w:divBdr>
          <w:divsChild>
            <w:div w:id="1058020132">
              <w:marLeft w:val="0"/>
              <w:marRight w:val="0"/>
              <w:marTop w:val="0"/>
              <w:marBottom w:val="0"/>
              <w:divBdr>
                <w:top w:val="none" w:sz="0" w:space="0" w:color="auto"/>
                <w:left w:val="none" w:sz="0" w:space="0" w:color="auto"/>
                <w:bottom w:val="none" w:sz="0" w:space="0" w:color="auto"/>
                <w:right w:val="none" w:sz="0" w:space="0" w:color="auto"/>
              </w:divBdr>
              <w:divsChild>
                <w:div w:id="837503340">
                  <w:marLeft w:val="0"/>
                  <w:marRight w:val="0"/>
                  <w:marTop w:val="100"/>
                  <w:marBottom w:val="100"/>
                  <w:divBdr>
                    <w:top w:val="none" w:sz="0" w:space="0" w:color="auto"/>
                    <w:left w:val="none" w:sz="0" w:space="0" w:color="auto"/>
                    <w:bottom w:val="none" w:sz="0" w:space="0" w:color="auto"/>
                    <w:right w:val="none" w:sz="0" w:space="0" w:color="auto"/>
                  </w:divBdr>
                  <w:divsChild>
                    <w:div w:id="1493332174">
                      <w:marLeft w:val="0"/>
                      <w:marRight w:val="0"/>
                      <w:marTop w:val="0"/>
                      <w:marBottom w:val="0"/>
                      <w:divBdr>
                        <w:top w:val="none" w:sz="0" w:space="0" w:color="auto"/>
                        <w:left w:val="none" w:sz="0" w:space="0" w:color="auto"/>
                        <w:bottom w:val="none" w:sz="0" w:space="0" w:color="auto"/>
                        <w:right w:val="none" w:sz="0" w:space="0" w:color="auto"/>
                      </w:divBdr>
                      <w:divsChild>
                        <w:div w:id="1437024373">
                          <w:marLeft w:val="0"/>
                          <w:marRight w:val="0"/>
                          <w:marTop w:val="0"/>
                          <w:marBottom w:val="0"/>
                          <w:divBdr>
                            <w:top w:val="none" w:sz="0" w:space="0" w:color="auto"/>
                            <w:left w:val="none" w:sz="0" w:space="0" w:color="auto"/>
                            <w:bottom w:val="none" w:sz="0" w:space="0" w:color="auto"/>
                            <w:right w:val="none" w:sz="0" w:space="0" w:color="auto"/>
                          </w:divBdr>
                          <w:divsChild>
                            <w:div w:id="2063673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3307">
      <w:bodyDiv w:val="1"/>
      <w:marLeft w:val="0"/>
      <w:marRight w:val="0"/>
      <w:marTop w:val="0"/>
      <w:marBottom w:val="0"/>
      <w:divBdr>
        <w:top w:val="none" w:sz="0" w:space="0" w:color="auto"/>
        <w:left w:val="none" w:sz="0" w:space="0" w:color="auto"/>
        <w:bottom w:val="none" w:sz="0" w:space="0" w:color="auto"/>
        <w:right w:val="none" w:sz="0" w:space="0" w:color="auto"/>
      </w:divBdr>
      <w:divsChild>
        <w:div w:id="1100024499">
          <w:marLeft w:val="0"/>
          <w:marRight w:val="0"/>
          <w:marTop w:val="0"/>
          <w:marBottom w:val="0"/>
          <w:divBdr>
            <w:top w:val="none" w:sz="0" w:space="0" w:color="auto"/>
            <w:left w:val="none" w:sz="0" w:space="0" w:color="auto"/>
            <w:bottom w:val="none" w:sz="0" w:space="0" w:color="auto"/>
            <w:right w:val="none" w:sz="0" w:space="0" w:color="auto"/>
          </w:divBdr>
          <w:divsChild>
            <w:div w:id="1640183944">
              <w:marLeft w:val="0"/>
              <w:marRight w:val="0"/>
              <w:marTop w:val="0"/>
              <w:marBottom w:val="0"/>
              <w:divBdr>
                <w:top w:val="none" w:sz="0" w:space="0" w:color="auto"/>
                <w:left w:val="none" w:sz="0" w:space="0" w:color="auto"/>
                <w:bottom w:val="none" w:sz="0" w:space="0" w:color="auto"/>
                <w:right w:val="none" w:sz="0" w:space="0" w:color="auto"/>
              </w:divBdr>
              <w:divsChild>
                <w:div w:id="176433024">
                  <w:marLeft w:val="0"/>
                  <w:marRight w:val="0"/>
                  <w:marTop w:val="100"/>
                  <w:marBottom w:val="100"/>
                  <w:divBdr>
                    <w:top w:val="none" w:sz="0" w:space="0" w:color="auto"/>
                    <w:left w:val="none" w:sz="0" w:space="0" w:color="auto"/>
                    <w:bottom w:val="none" w:sz="0" w:space="0" w:color="auto"/>
                    <w:right w:val="none" w:sz="0" w:space="0" w:color="auto"/>
                  </w:divBdr>
                  <w:divsChild>
                    <w:div w:id="983892775">
                      <w:marLeft w:val="0"/>
                      <w:marRight w:val="0"/>
                      <w:marTop w:val="0"/>
                      <w:marBottom w:val="0"/>
                      <w:divBdr>
                        <w:top w:val="none" w:sz="0" w:space="0" w:color="auto"/>
                        <w:left w:val="none" w:sz="0" w:space="0" w:color="auto"/>
                        <w:bottom w:val="none" w:sz="0" w:space="0" w:color="auto"/>
                        <w:right w:val="none" w:sz="0" w:space="0" w:color="auto"/>
                      </w:divBdr>
                      <w:divsChild>
                        <w:div w:id="1609968858">
                          <w:marLeft w:val="0"/>
                          <w:marRight w:val="0"/>
                          <w:marTop w:val="0"/>
                          <w:marBottom w:val="0"/>
                          <w:divBdr>
                            <w:top w:val="none" w:sz="0" w:space="0" w:color="auto"/>
                            <w:left w:val="none" w:sz="0" w:space="0" w:color="auto"/>
                            <w:bottom w:val="none" w:sz="0" w:space="0" w:color="auto"/>
                            <w:right w:val="none" w:sz="0" w:space="0" w:color="auto"/>
                          </w:divBdr>
                          <w:divsChild>
                            <w:div w:id="1639264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6508">
      <w:bodyDiv w:val="1"/>
      <w:marLeft w:val="0"/>
      <w:marRight w:val="0"/>
      <w:marTop w:val="0"/>
      <w:marBottom w:val="0"/>
      <w:divBdr>
        <w:top w:val="none" w:sz="0" w:space="0" w:color="auto"/>
        <w:left w:val="none" w:sz="0" w:space="0" w:color="auto"/>
        <w:bottom w:val="none" w:sz="0" w:space="0" w:color="auto"/>
        <w:right w:val="none" w:sz="0" w:space="0" w:color="auto"/>
      </w:divBdr>
      <w:divsChild>
        <w:div w:id="1490947333">
          <w:marLeft w:val="0"/>
          <w:marRight w:val="0"/>
          <w:marTop w:val="0"/>
          <w:marBottom w:val="0"/>
          <w:divBdr>
            <w:top w:val="none" w:sz="0" w:space="0" w:color="auto"/>
            <w:left w:val="none" w:sz="0" w:space="0" w:color="auto"/>
            <w:bottom w:val="none" w:sz="0" w:space="0" w:color="auto"/>
            <w:right w:val="none" w:sz="0" w:space="0" w:color="auto"/>
          </w:divBdr>
          <w:divsChild>
            <w:div w:id="1948655747">
              <w:marLeft w:val="0"/>
              <w:marRight w:val="0"/>
              <w:marTop w:val="0"/>
              <w:marBottom w:val="0"/>
              <w:divBdr>
                <w:top w:val="none" w:sz="0" w:space="0" w:color="auto"/>
                <w:left w:val="none" w:sz="0" w:space="0" w:color="auto"/>
                <w:bottom w:val="none" w:sz="0" w:space="0" w:color="auto"/>
                <w:right w:val="none" w:sz="0" w:space="0" w:color="auto"/>
              </w:divBdr>
              <w:divsChild>
                <w:div w:id="1587961816">
                  <w:marLeft w:val="0"/>
                  <w:marRight w:val="0"/>
                  <w:marTop w:val="100"/>
                  <w:marBottom w:val="100"/>
                  <w:divBdr>
                    <w:top w:val="none" w:sz="0" w:space="0" w:color="auto"/>
                    <w:left w:val="none" w:sz="0" w:space="0" w:color="auto"/>
                    <w:bottom w:val="none" w:sz="0" w:space="0" w:color="auto"/>
                    <w:right w:val="none" w:sz="0" w:space="0" w:color="auto"/>
                  </w:divBdr>
                  <w:divsChild>
                    <w:div w:id="1963488473">
                      <w:marLeft w:val="0"/>
                      <w:marRight w:val="0"/>
                      <w:marTop w:val="0"/>
                      <w:marBottom w:val="0"/>
                      <w:divBdr>
                        <w:top w:val="none" w:sz="0" w:space="0" w:color="auto"/>
                        <w:left w:val="none" w:sz="0" w:space="0" w:color="auto"/>
                        <w:bottom w:val="none" w:sz="0" w:space="0" w:color="auto"/>
                        <w:right w:val="none" w:sz="0" w:space="0" w:color="auto"/>
                      </w:divBdr>
                      <w:divsChild>
                        <w:div w:id="1817331817">
                          <w:marLeft w:val="0"/>
                          <w:marRight w:val="0"/>
                          <w:marTop w:val="0"/>
                          <w:marBottom w:val="0"/>
                          <w:divBdr>
                            <w:top w:val="none" w:sz="0" w:space="0" w:color="auto"/>
                            <w:left w:val="none" w:sz="0" w:space="0" w:color="auto"/>
                            <w:bottom w:val="none" w:sz="0" w:space="0" w:color="auto"/>
                            <w:right w:val="none" w:sz="0" w:space="0" w:color="auto"/>
                          </w:divBdr>
                          <w:divsChild>
                            <w:div w:id="886602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71667">
      <w:bodyDiv w:val="1"/>
      <w:marLeft w:val="0"/>
      <w:marRight w:val="0"/>
      <w:marTop w:val="0"/>
      <w:marBottom w:val="0"/>
      <w:divBdr>
        <w:top w:val="none" w:sz="0" w:space="0" w:color="auto"/>
        <w:left w:val="none" w:sz="0" w:space="0" w:color="auto"/>
        <w:bottom w:val="none" w:sz="0" w:space="0" w:color="auto"/>
        <w:right w:val="none" w:sz="0" w:space="0" w:color="auto"/>
      </w:divBdr>
      <w:divsChild>
        <w:div w:id="1786346726">
          <w:marLeft w:val="0"/>
          <w:marRight w:val="0"/>
          <w:marTop w:val="0"/>
          <w:marBottom w:val="0"/>
          <w:divBdr>
            <w:top w:val="none" w:sz="0" w:space="0" w:color="auto"/>
            <w:left w:val="none" w:sz="0" w:space="0" w:color="auto"/>
            <w:bottom w:val="none" w:sz="0" w:space="0" w:color="auto"/>
            <w:right w:val="none" w:sz="0" w:space="0" w:color="auto"/>
          </w:divBdr>
          <w:divsChild>
            <w:div w:id="1334331600">
              <w:marLeft w:val="0"/>
              <w:marRight w:val="0"/>
              <w:marTop w:val="0"/>
              <w:marBottom w:val="0"/>
              <w:divBdr>
                <w:top w:val="none" w:sz="0" w:space="0" w:color="auto"/>
                <w:left w:val="none" w:sz="0" w:space="0" w:color="auto"/>
                <w:bottom w:val="none" w:sz="0" w:space="0" w:color="auto"/>
                <w:right w:val="none" w:sz="0" w:space="0" w:color="auto"/>
              </w:divBdr>
              <w:divsChild>
                <w:div w:id="1996452440">
                  <w:marLeft w:val="0"/>
                  <w:marRight w:val="0"/>
                  <w:marTop w:val="100"/>
                  <w:marBottom w:val="100"/>
                  <w:divBdr>
                    <w:top w:val="none" w:sz="0" w:space="0" w:color="auto"/>
                    <w:left w:val="none" w:sz="0" w:space="0" w:color="auto"/>
                    <w:bottom w:val="none" w:sz="0" w:space="0" w:color="auto"/>
                    <w:right w:val="none" w:sz="0" w:space="0" w:color="auto"/>
                  </w:divBdr>
                  <w:divsChild>
                    <w:div w:id="344677872">
                      <w:marLeft w:val="0"/>
                      <w:marRight w:val="0"/>
                      <w:marTop w:val="0"/>
                      <w:marBottom w:val="0"/>
                      <w:divBdr>
                        <w:top w:val="none" w:sz="0" w:space="0" w:color="auto"/>
                        <w:left w:val="none" w:sz="0" w:space="0" w:color="auto"/>
                        <w:bottom w:val="none" w:sz="0" w:space="0" w:color="auto"/>
                        <w:right w:val="none" w:sz="0" w:space="0" w:color="auto"/>
                      </w:divBdr>
                      <w:divsChild>
                        <w:div w:id="1511135968">
                          <w:marLeft w:val="0"/>
                          <w:marRight w:val="0"/>
                          <w:marTop w:val="0"/>
                          <w:marBottom w:val="0"/>
                          <w:divBdr>
                            <w:top w:val="none" w:sz="0" w:space="0" w:color="auto"/>
                            <w:left w:val="none" w:sz="0" w:space="0" w:color="auto"/>
                            <w:bottom w:val="none" w:sz="0" w:space="0" w:color="auto"/>
                            <w:right w:val="none" w:sz="0" w:space="0" w:color="auto"/>
                          </w:divBdr>
                          <w:divsChild>
                            <w:div w:id="788277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8066">
      <w:bodyDiv w:val="1"/>
      <w:marLeft w:val="0"/>
      <w:marRight w:val="0"/>
      <w:marTop w:val="0"/>
      <w:marBottom w:val="0"/>
      <w:divBdr>
        <w:top w:val="none" w:sz="0" w:space="0" w:color="auto"/>
        <w:left w:val="none" w:sz="0" w:space="0" w:color="auto"/>
        <w:bottom w:val="none" w:sz="0" w:space="0" w:color="auto"/>
        <w:right w:val="none" w:sz="0" w:space="0" w:color="auto"/>
      </w:divBdr>
      <w:divsChild>
        <w:div w:id="1811241091">
          <w:marLeft w:val="0"/>
          <w:marRight w:val="0"/>
          <w:marTop w:val="0"/>
          <w:marBottom w:val="0"/>
          <w:divBdr>
            <w:top w:val="none" w:sz="0" w:space="0" w:color="auto"/>
            <w:left w:val="none" w:sz="0" w:space="0" w:color="auto"/>
            <w:bottom w:val="none" w:sz="0" w:space="0" w:color="auto"/>
            <w:right w:val="none" w:sz="0" w:space="0" w:color="auto"/>
          </w:divBdr>
          <w:divsChild>
            <w:div w:id="1348293127">
              <w:marLeft w:val="0"/>
              <w:marRight w:val="0"/>
              <w:marTop w:val="0"/>
              <w:marBottom w:val="0"/>
              <w:divBdr>
                <w:top w:val="none" w:sz="0" w:space="0" w:color="auto"/>
                <w:left w:val="none" w:sz="0" w:space="0" w:color="auto"/>
                <w:bottom w:val="none" w:sz="0" w:space="0" w:color="auto"/>
                <w:right w:val="none" w:sz="0" w:space="0" w:color="auto"/>
              </w:divBdr>
              <w:divsChild>
                <w:div w:id="659306252">
                  <w:marLeft w:val="0"/>
                  <w:marRight w:val="0"/>
                  <w:marTop w:val="100"/>
                  <w:marBottom w:val="100"/>
                  <w:divBdr>
                    <w:top w:val="none" w:sz="0" w:space="0" w:color="auto"/>
                    <w:left w:val="none" w:sz="0" w:space="0" w:color="auto"/>
                    <w:bottom w:val="none" w:sz="0" w:space="0" w:color="auto"/>
                    <w:right w:val="none" w:sz="0" w:space="0" w:color="auto"/>
                  </w:divBdr>
                  <w:divsChild>
                    <w:div w:id="632907661">
                      <w:marLeft w:val="0"/>
                      <w:marRight w:val="0"/>
                      <w:marTop w:val="0"/>
                      <w:marBottom w:val="0"/>
                      <w:divBdr>
                        <w:top w:val="none" w:sz="0" w:space="0" w:color="auto"/>
                        <w:left w:val="none" w:sz="0" w:space="0" w:color="auto"/>
                        <w:bottom w:val="none" w:sz="0" w:space="0" w:color="auto"/>
                        <w:right w:val="none" w:sz="0" w:space="0" w:color="auto"/>
                      </w:divBdr>
                      <w:divsChild>
                        <w:div w:id="1022710093">
                          <w:marLeft w:val="0"/>
                          <w:marRight w:val="0"/>
                          <w:marTop w:val="0"/>
                          <w:marBottom w:val="0"/>
                          <w:divBdr>
                            <w:top w:val="none" w:sz="0" w:space="0" w:color="auto"/>
                            <w:left w:val="none" w:sz="0" w:space="0" w:color="auto"/>
                            <w:bottom w:val="none" w:sz="0" w:space="0" w:color="auto"/>
                            <w:right w:val="none" w:sz="0" w:space="0" w:color="auto"/>
                          </w:divBdr>
                          <w:divsChild>
                            <w:div w:id="1408069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593961">
      <w:bodyDiv w:val="1"/>
      <w:marLeft w:val="0"/>
      <w:marRight w:val="0"/>
      <w:marTop w:val="0"/>
      <w:marBottom w:val="0"/>
      <w:divBdr>
        <w:top w:val="none" w:sz="0" w:space="0" w:color="auto"/>
        <w:left w:val="none" w:sz="0" w:space="0" w:color="auto"/>
        <w:bottom w:val="none" w:sz="0" w:space="0" w:color="auto"/>
        <w:right w:val="none" w:sz="0" w:space="0" w:color="auto"/>
      </w:divBdr>
      <w:divsChild>
        <w:div w:id="1594631472">
          <w:marLeft w:val="0"/>
          <w:marRight w:val="0"/>
          <w:marTop w:val="0"/>
          <w:marBottom w:val="0"/>
          <w:divBdr>
            <w:top w:val="none" w:sz="0" w:space="0" w:color="auto"/>
            <w:left w:val="none" w:sz="0" w:space="0" w:color="auto"/>
            <w:bottom w:val="none" w:sz="0" w:space="0" w:color="auto"/>
            <w:right w:val="none" w:sz="0" w:space="0" w:color="auto"/>
          </w:divBdr>
          <w:divsChild>
            <w:div w:id="1277785169">
              <w:marLeft w:val="0"/>
              <w:marRight w:val="0"/>
              <w:marTop w:val="0"/>
              <w:marBottom w:val="0"/>
              <w:divBdr>
                <w:top w:val="none" w:sz="0" w:space="0" w:color="auto"/>
                <w:left w:val="none" w:sz="0" w:space="0" w:color="auto"/>
                <w:bottom w:val="none" w:sz="0" w:space="0" w:color="auto"/>
                <w:right w:val="none" w:sz="0" w:space="0" w:color="auto"/>
              </w:divBdr>
              <w:divsChild>
                <w:div w:id="1530952147">
                  <w:marLeft w:val="0"/>
                  <w:marRight w:val="0"/>
                  <w:marTop w:val="100"/>
                  <w:marBottom w:val="100"/>
                  <w:divBdr>
                    <w:top w:val="none" w:sz="0" w:space="0" w:color="auto"/>
                    <w:left w:val="none" w:sz="0" w:space="0" w:color="auto"/>
                    <w:bottom w:val="none" w:sz="0" w:space="0" w:color="auto"/>
                    <w:right w:val="none" w:sz="0" w:space="0" w:color="auto"/>
                  </w:divBdr>
                  <w:divsChild>
                    <w:div w:id="160899647">
                      <w:marLeft w:val="0"/>
                      <w:marRight w:val="0"/>
                      <w:marTop w:val="0"/>
                      <w:marBottom w:val="0"/>
                      <w:divBdr>
                        <w:top w:val="none" w:sz="0" w:space="0" w:color="auto"/>
                        <w:left w:val="none" w:sz="0" w:space="0" w:color="auto"/>
                        <w:bottom w:val="none" w:sz="0" w:space="0" w:color="auto"/>
                        <w:right w:val="none" w:sz="0" w:space="0" w:color="auto"/>
                      </w:divBdr>
                      <w:divsChild>
                        <w:div w:id="710567787">
                          <w:marLeft w:val="0"/>
                          <w:marRight w:val="0"/>
                          <w:marTop w:val="0"/>
                          <w:marBottom w:val="0"/>
                          <w:divBdr>
                            <w:top w:val="none" w:sz="0" w:space="0" w:color="auto"/>
                            <w:left w:val="none" w:sz="0" w:space="0" w:color="auto"/>
                            <w:bottom w:val="none" w:sz="0" w:space="0" w:color="auto"/>
                            <w:right w:val="none" w:sz="0" w:space="0" w:color="auto"/>
                          </w:divBdr>
                          <w:divsChild>
                            <w:div w:id="3726584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90212">
      <w:bodyDiv w:val="1"/>
      <w:marLeft w:val="0"/>
      <w:marRight w:val="0"/>
      <w:marTop w:val="0"/>
      <w:marBottom w:val="0"/>
      <w:divBdr>
        <w:top w:val="none" w:sz="0" w:space="0" w:color="auto"/>
        <w:left w:val="none" w:sz="0" w:space="0" w:color="auto"/>
        <w:bottom w:val="none" w:sz="0" w:space="0" w:color="auto"/>
        <w:right w:val="none" w:sz="0" w:space="0" w:color="auto"/>
      </w:divBdr>
      <w:divsChild>
        <w:div w:id="639265074">
          <w:marLeft w:val="0"/>
          <w:marRight w:val="0"/>
          <w:marTop w:val="0"/>
          <w:marBottom w:val="0"/>
          <w:divBdr>
            <w:top w:val="none" w:sz="0" w:space="0" w:color="auto"/>
            <w:left w:val="none" w:sz="0" w:space="0" w:color="auto"/>
            <w:bottom w:val="none" w:sz="0" w:space="0" w:color="auto"/>
            <w:right w:val="none" w:sz="0" w:space="0" w:color="auto"/>
          </w:divBdr>
          <w:divsChild>
            <w:div w:id="981614621">
              <w:marLeft w:val="0"/>
              <w:marRight w:val="0"/>
              <w:marTop w:val="0"/>
              <w:marBottom w:val="0"/>
              <w:divBdr>
                <w:top w:val="none" w:sz="0" w:space="0" w:color="auto"/>
                <w:left w:val="none" w:sz="0" w:space="0" w:color="auto"/>
                <w:bottom w:val="none" w:sz="0" w:space="0" w:color="auto"/>
                <w:right w:val="none" w:sz="0" w:space="0" w:color="auto"/>
              </w:divBdr>
              <w:divsChild>
                <w:div w:id="998919021">
                  <w:marLeft w:val="0"/>
                  <w:marRight w:val="0"/>
                  <w:marTop w:val="100"/>
                  <w:marBottom w:val="100"/>
                  <w:divBdr>
                    <w:top w:val="none" w:sz="0" w:space="0" w:color="auto"/>
                    <w:left w:val="none" w:sz="0" w:space="0" w:color="auto"/>
                    <w:bottom w:val="none" w:sz="0" w:space="0" w:color="auto"/>
                    <w:right w:val="none" w:sz="0" w:space="0" w:color="auto"/>
                  </w:divBdr>
                  <w:divsChild>
                    <w:div w:id="80566950">
                      <w:marLeft w:val="0"/>
                      <w:marRight w:val="0"/>
                      <w:marTop w:val="0"/>
                      <w:marBottom w:val="0"/>
                      <w:divBdr>
                        <w:top w:val="none" w:sz="0" w:space="0" w:color="auto"/>
                        <w:left w:val="none" w:sz="0" w:space="0" w:color="auto"/>
                        <w:bottom w:val="none" w:sz="0" w:space="0" w:color="auto"/>
                        <w:right w:val="none" w:sz="0" w:space="0" w:color="auto"/>
                      </w:divBdr>
                      <w:divsChild>
                        <w:div w:id="237205696">
                          <w:marLeft w:val="0"/>
                          <w:marRight w:val="0"/>
                          <w:marTop w:val="0"/>
                          <w:marBottom w:val="0"/>
                          <w:divBdr>
                            <w:top w:val="none" w:sz="0" w:space="0" w:color="auto"/>
                            <w:left w:val="none" w:sz="0" w:space="0" w:color="auto"/>
                            <w:bottom w:val="none" w:sz="0" w:space="0" w:color="auto"/>
                            <w:right w:val="none" w:sz="0" w:space="0" w:color="auto"/>
                          </w:divBdr>
                          <w:divsChild>
                            <w:div w:id="1800536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096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689">
          <w:marLeft w:val="0"/>
          <w:marRight w:val="0"/>
          <w:marTop w:val="0"/>
          <w:marBottom w:val="0"/>
          <w:divBdr>
            <w:top w:val="none" w:sz="0" w:space="0" w:color="auto"/>
            <w:left w:val="none" w:sz="0" w:space="0" w:color="auto"/>
            <w:bottom w:val="none" w:sz="0" w:space="0" w:color="auto"/>
            <w:right w:val="none" w:sz="0" w:space="0" w:color="auto"/>
          </w:divBdr>
          <w:divsChild>
            <w:div w:id="1090273377">
              <w:marLeft w:val="0"/>
              <w:marRight w:val="0"/>
              <w:marTop w:val="0"/>
              <w:marBottom w:val="0"/>
              <w:divBdr>
                <w:top w:val="none" w:sz="0" w:space="0" w:color="auto"/>
                <w:left w:val="none" w:sz="0" w:space="0" w:color="auto"/>
                <w:bottom w:val="none" w:sz="0" w:space="0" w:color="auto"/>
                <w:right w:val="none" w:sz="0" w:space="0" w:color="auto"/>
              </w:divBdr>
              <w:divsChild>
                <w:div w:id="2072658527">
                  <w:marLeft w:val="0"/>
                  <w:marRight w:val="0"/>
                  <w:marTop w:val="100"/>
                  <w:marBottom w:val="100"/>
                  <w:divBdr>
                    <w:top w:val="none" w:sz="0" w:space="0" w:color="auto"/>
                    <w:left w:val="none" w:sz="0" w:space="0" w:color="auto"/>
                    <w:bottom w:val="none" w:sz="0" w:space="0" w:color="auto"/>
                    <w:right w:val="none" w:sz="0" w:space="0" w:color="auto"/>
                  </w:divBdr>
                  <w:divsChild>
                    <w:div w:id="411514954">
                      <w:marLeft w:val="0"/>
                      <w:marRight w:val="0"/>
                      <w:marTop w:val="0"/>
                      <w:marBottom w:val="0"/>
                      <w:divBdr>
                        <w:top w:val="none" w:sz="0" w:space="0" w:color="auto"/>
                        <w:left w:val="none" w:sz="0" w:space="0" w:color="auto"/>
                        <w:bottom w:val="none" w:sz="0" w:space="0" w:color="auto"/>
                        <w:right w:val="none" w:sz="0" w:space="0" w:color="auto"/>
                      </w:divBdr>
                      <w:divsChild>
                        <w:div w:id="1967346814">
                          <w:marLeft w:val="0"/>
                          <w:marRight w:val="0"/>
                          <w:marTop w:val="0"/>
                          <w:marBottom w:val="0"/>
                          <w:divBdr>
                            <w:top w:val="none" w:sz="0" w:space="0" w:color="auto"/>
                            <w:left w:val="none" w:sz="0" w:space="0" w:color="auto"/>
                            <w:bottom w:val="none" w:sz="0" w:space="0" w:color="auto"/>
                            <w:right w:val="none" w:sz="0" w:space="0" w:color="auto"/>
                          </w:divBdr>
                          <w:divsChild>
                            <w:div w:id="987905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745036">
      <w:bodyDiv w:val="1"/>
      <w:marLeft w:val="0"/>
      <w:marRight w:val="0"/>
      <w:marTop w:val="0"/>
      <w:marBottom w:val="0"/>
      <w:divBdr>
        <w:top w:val="none" w:sz="0" w:space="0" w:color="auto"/>
        <w:left w:val="none" w:sz="0" w:space="0" w:color="auto"/>
        <w:bottom w:val="none" w:sz="0" w:space="0" w:color="auto"/>
        <w:right w:val="none" w:sz="0" w:space="0" w:color="auto"/>
      </w:divBdr>
      <w:divsChild>
        <w:div w:id="1186868280">
          <w:marLeft w:val="0"/>
          <w:marRight w:val="0"/>
          <w:marTop w:val="0"/>
          <w:marBottom w:val="0"/>
          <w:divBdr>
            <w:top w:val="none" w:sz="0" w:space="0" w:color="auto"/>
            <w:left w:val="none" w:sz="0" w:space="0" w:color="auto"/>
            <w:bottom w:val="none" w:sz="0" w:space="0" w:color="auto"/>
            <w:right w:val="none" w:sz="0" w:space="0" w:color="auto"/>
          </w:divBdr>
          <w:divsChild>
            <w:div w:id="318730346">
              <w:marLeft w:val="0"/>
              <w:marRight w:val="0"/>
              <w:marTop w:val="0"/>
              <w:marBottom w:val="0"/>
              <w:divBdr>
                <w:top w:val="none" w:sz="0" w:space="0" w:color="auto"/>
                <w:left w:val="none" w:sz="0" w:space="0" w:color="auto"/>
                <w:bottom w:val="none" w:sz="0" w:space="0" w:color="auto"/>
                <w:right w:val="none" w:sz="0" w:space="0" w:color="auto"/>
              </w:divBdr>
              <w:divsChild>
                <w:div w:id="1506558170">
                  <w:marLeft w:val="0"/>
                  <w:marRight w:val="0"/>
                  <w:marTop w:val="100"/>
                  <w:marBottom w:val="100"/>
                  <w:divBdr>
                    <w:top w:val="none" w:sz="0" w:space="0" w:color="auto"/>
                    <w:left w:val="none" w:sz="0" w:space="0" w:color="auto"/>
                    <w:bottom w:val="none" w:sz="0" w:space="0" w:color="auto"/>
                    <w:right w:val="none" w:sz="0" w:space="0" w:color="auto"/>
                  </w:divBdr>
                  <w:divsChild>
                    <w:div w:id="1190604939">
                      <w:marLeft w:val="0"/>
                      <w:marRight w:val="0"/>
                      <w:marTop w:val="0"/>
                      <w:marBottom w:val="0"/>
                      <w:divBdr>
                        <w:top w:val="none" w:sz="0" w:space="0" w:color="auto"/>
                        <w:left w:val="none" w:sz="0" w:space="0" w:color="auto"/>
                        <w:bottom w:val="none" w:sz="0" w:space="0" w:color="auto"/>
                        <w:right w:val="none" w:sz="0" w:space="0" w:color="auto"/>
                      </w:divBdr>
                      <w:divsChild>
                        <w:div w:id="1132090796">
                          <w:marLeft w:val="0"/>
                          <w:marRight w:val="0"/>
                          <w:marTop w:val="0"/>
                          <w:marBottom w:val="0"/>
                          <w:divBdr>
                            <w:top w:val="none" w:sz="0" w:space="0" w:color="auto"/>
                            <w:left w:val="none" w:sz="0" w:space="0" w:color="auto"/>
                            <w:bottom w:val="none" w:sz="0" w:space="0" w:color="auto"/>
                            <w:right w:val="none" w:sz="0" w:space="0" w:color="auto"/>
                          </w:divBdr>
                          <w:divsChild>
                            <w:div w:id="8550783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C5CF-6675-4387-B83D-A4B23936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3258</Words>
  <Characters>19224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MarekErtelt</cp:lastModifiedBy>
  <cp:revision>3</cp:revision>
  <cp:lastPrinted>2017-12-06T09:28:00Z</cp:lastPrinted>
  <dcterms:created xsi:type="dcterms:W3CDTF">2017-12-14T09:02:00Z</dcterms:created>
  <dcterms:modified xsi:type="dcterms:W3CDTF">2017-12-14T09:08:00Z</dcterms:modified>
</cp:coreProperties>
</file>